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2B" w:rsidRPr="00A75F2B" w:rsidRDefault="00A75F2B" w:rsidP="001815E4">
      <w:pPr>
        <w:jc w:val="center"/>
        <w:rPr>
          <w:b/>
          <w:szCs w:val="28"/>
        </w:rPr>
      </w:pPr>
      <w:r w:rsidRPr="00A75F2B">
        <w:rPr>
          <w:b/>
          <w:szCs w:val="28"/>
        </w:rPr>
        <w:t xml:space="preserve">ПОЯСНИТЕЛЬНАЯ ЗАПИСКА </w:t>
      </w:r>
    </w:p>
    <w:p w:rsidR="00A75F2B" w:rsidRPr="00A75F2B" w:rsidRDefault="00A75F2B" w:rsidP="00A75F2B">
      <w:pPr>
        <w:jc w:val="center"/>
        <w:rPr>
          <w:b/>
          <w:szCs w:val="28"/>
        </w:rPr>
      </w:pPr>
      <w:r w:rsidRPr="00A75F2B">
        <w:rPr>
          <w:b/>
          <w:szCs w:val="28"/>
        </w:rPr>
        <w:t>к проекту Федерального закона</w:t>
      </w:r>
    </w:p>
    <w:p w:rsidR="007F56B8" w:rsidRPr="00A75F2B" w:rsidRDefault="00A75F2B" w:rsidP="00A75F2B">
      <w:pPr>
        <w:jc w:val="center"/>
        <w:rPr>
          <w:b/>
          <w:szCs w:val="28"/>
        </w:rPr>
      </w:pPr>
      <w:r w:rsidRPr="00A75F2B">
        <w:rPr>
          <w:b/>
          <w:szCs w:val="28"/>
        </w:rPr>
        <w:t xml:space="preserve"> </w:t>
      </w:r>
      <w:r w:rsidR="006E71AD" w:rsidRPr="00A75F2B">
        <w:rPr>
          <w:b/>
          <w:szCs w:val="28"/>
        </w:rPr>
        <w:t xml:space="preserve">«О внесении изменений в часть вторую Налогового </w:t>
      </w:r>
      <w:r w:rsidR="002977C3" w:rsidRPr="00A75F2B">
        <w:rPr>
          <w:b/>
          <w:szCs w:val="28"/>
        </w:rPr>
        <w:t>к</w:t>
      </w:r>
      <w:r w:rsidR="006E71AD" w:rsidRPr="00A75F2B">
        <w:rPr>
          <w:b/>
          <w:szCs w:val="28"/>
        </w:rPr>
        <w:t xml:space="preserve">одекса Российской Федерации в части введения специального налогового вычета по </w:t>
      </w:r>
      <w:r>
        <w:rPr>
          <w:b/>
          <w:szCs w:val="28"/>
        </w:rPr>
        <w:t>налогу на доходы физических лиц (</w:t>
      </w:r>
      <w:r w:rsidR="006E71AD" w:rsidRPr="00A75F2B">
        <w:rPr>
          <w:b/>
          <w:szCs w:val="28"/>
        </w:rPr>
        <w:t>НДФЛ</w:t>
      </w:r>
      <w:r>
        <w:rPr>
          <w:b/>
          <w:szCs w:val="28"/>
        </w:rPr>
        <w:t>)</w:t>
      </w:r>
      <w:r w:rsidR="006E71AD" w:rsidRPr="00A75F2B">
        <w:rPr>
          <w:b/>
          <w:szCs w:val="28"/>
        </w:rPr>
        <w:t xml:space="preserve"> для инвесторов-физических лиц и введения льготной ставки по НДФЛ от инвестиционного дохода физических лиц»</w:t>
      </w:r>
    </w:p>
    <w:p w:rsidR="006E71AD" w:rsidRPr="00A75F2B" w:rsidRDefault="006E71AD" w:rsidP="006E71AD">
      <w:pPr>
        <w:rPr>
          <w:b/>
          <w:szCs w:val="28"/>
        </w:rPr>
      </w:pPr>
    </w:p>
    <w:p w:rsidR="00B654DF" w:rsidRPr="00A75F2B" w:rsidRDefault="00B654DF" w:rsidP="00B654DF">
      <w:pPr>
        <w:spacing w:line="360" w:lineRule="auto"/>
        <w:rPr>
          <w:szCs w:val="28"/>
        </w:rPr>
      </w:pPr>
      <w:r w:rsidRPr="00A75F2B">
        <w:rPr>
          <w:szCs w:val="28"/>
        </w:rPr>
        <w:t xml:space="preserve">Предлагаемый </w:t>
      </w:r>
      <w:r w:rsidR="00E9279D">
        <w:rPr>
          <w:szCs w:val="28"/>
        </w:rPr>
        <w:t>проект федерального закона</w:t>
      </w:r>
      <w:r w:rsidRPr="00A75F2B">
        <w:rPr>
          <w:szCs w:val="28"/>
        </w:rPr>
        <w:t xml:space="preserve"> направлен на совершенствование налогового законодательства в части предоставления налоговых вычетов по налогу на доходы физических лиц (НДФЛ) для инвесторов, вкладывающих собственные средства в высокотехнологичные компании, находящиеся на ранних этапах развития (бизнес-ангелов). </w:t>
      </w:r>
    </w:p>
    <w:p w:rsidR="00DF4DF3" w:rsidRPr="00A75F2B" w:rsidRDefault="00DF4DF3" w:rsidP="00DF4DF3">
      <w:pPr>
        <w:spacing w:before="0" w:after="60" w:line="360" w:lineRule="auto"/>
        <w:ind w:firstLine="720"/>
        <w:rPr>
          <w:szCs w:val="28"/>
        </w:rPr>
      </w:pPr>
      <w:r w:rsidRPr="00A75F2B">
        <w:rPr>
          <w:szCs w:val="28"/>
        </w:rPr>
        <w:t>Законопроект разработан во исполнение пункта 01.01.006.002.001 Плана мероприятий по направлению «Нормативное регулирование» программы «Цифровая экономика Российской Федерации», утверждённого на заседании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18 декабря 2017 года (Протокол № 2).</w:t>
      </w:r>
    </w:p>
    <w:p w:rsidR="00B654DF" w:rsidRPr="00A75F2B" w:rsidRDefault="002977C3" w:rsidP="00B654DF">
      <w:pPr>
        <w:spacing w:line="360" w:lineRule="auto"/>
        <w:rPr>
          <w:szCs w:val="28"/>
        </w:rPr>
      </w:pPr>
      <w:r w:rsidRPr="00A75F2B">
        <w:rPr>
          <w:szCs w:val="28"/>
        </w:rPr>
        <w:t>Развитие</w:t>
      </w:r>
      <w:r w:rsidR="00B654DF" w:rsidRPr="00A75F2B">
        <w:rPr>
          <w:szCs w:val="28"/>
        </w:rPr>
        <w:t xml:space="preserve"> цифровой экономики невозможно без разработки инновационных прорывных технологий. В то же</w:t>
      </w:r>
      <w:r w:rsidR="00A75F2B" w:rsidRPr="00A75F2B">
        <w:rPr>
          <w:szCs w:val="28"/>
        </w:rPr>
        <w:tab/>
      </w:r>
      <w:r w:rsidR="00B654DF" w:rsidRPr="00A75F2B">
        <w:rPr>
          <w:szCs w:val="28"/>
        </w:rPr>
        <w:t xml:space="preserve"> время основным барьером для развития </w:t>
      </w:r>
      <w:r w:rsidRPr="00A75F2B">
        <w:rPr>
          <w:szCs w:val="28"/>
        </w:rPr>
        <w:t xml:space="preserve">таких </w:t>
      </w:r>
      <w:r w:rsidR="00B654DF" w:rsidRPr="00A75F2B">
        <w:rPr>
          <w:szCs w:val="28"/>
        </w:rPr>
        <w:t>перспективных проектов</w:t>
      </w:r>
      <w:r w:rsidRPr="00A75F2B">
        <w:rPr>
          <w:szCs w:val="28"/>
        </w:rPr>
        <w:t xml:space="preserve"> на ранних стадиях </w:t>
      </w:r>
      <w:r w:rsidR="00B654DF" w:rsidRPr="00A75F2B">
        <w:rPr>
          <w:szCs w:val="28"/>
        </w:rPr>
        <w:t>является отсутствие</w:t>
      </w:r>
      <w:r w:rsidR="00DF4DF3" w:rsidRPr="00A75F2B">
        <w:rPr>
          <w:szCs w:val="28"/>
        </w:rPr>
        <w:t xml:space="preserve"> доступного</w:t>
      </w:r>
      <w:r w:rsidR="00B654DF" w:rsidRPr="00A75F2B">
        <w:rPr>
          <w:szCs w:val="28"/>
        </w:rPr>
        <w:t xml:space="preserve"> фин</w:t>
      </w:r>
      <w:r w:rsidR="00DF4DF3" w:rsidRPr="00A75F2B">
        <w:rPr>
          <w:szCs w:val="28"/>
        </w:rPr>
        <w:t>ансирования</w:t>
      </w:r>
      <w:r w:rsidR="00B654DF" w:rsidRPr="00A75F2B">
        <w:rPr>
          <w:szCs w:val="28"/>
        </w:rPr>
        <w:t>.</w:t>
      </w:r>
    </w:p>
    <w:p w:rsidR="00B654DF" w:rsidRPr="002F2A89" w:rsidRDefault="00B654DF" w:rsidP="00B654DF">
      <w:pPr>
        <w:spacing w:line="360" w:lineRule="auto"/>
        <w:ind w:firstLine="708"/>
        <w:rPr>
          <w:color w:val="000000" w:themeColor="text1"/>
          <w:szCs w:val="28"/>
        </w:rPr>
      </w:pPr>
      <w:r w:rsidRPr="001D1818">
        <w:rPr>
          <w:color w:val="000000" w:themeColor="text1"/>
          <w:szCs w:val="28"/>
        </w:rPr>
        <w:t>По данным Федеральной службы государственной статистики, годовой расход бюджетных средств на финансирование прикладных исследований и разработок составляет около 300 млрд рублей в год.</w:t>
      </w:r>
      <w:r w:rsidR="002F2A89" w:rsidRPr="001D1818">
        <w:rPr>
          <w:color w:val="000000" w:themeColor="text1"/>
          <w:szCs w:val="28"/>
        </w:rPr>
        <w:t xml:space="preserve"> </w:t>
      </w:r>
      <w:r w:rsidR="001D1818" w:rsidRPr="001D1818">
        <w:rPr>
          <w:color w:val="000000" w:themeColor="text1"/>
          <w:szCs w:val="28"/>
        </w:rPr>
        <w:t>При</w:t>
      </w:r>
      <w:r w:rsidR="002F2A89" w:rsidRPr="001D1818">
        <w:rPr>
          <w:color w:val="000000" w:themeColor="text1"/>
          <w:szCs w:val="28"/>
        </w:rPr>
        <w:t xml:space="preserve"> </w:t>
      </w:r>
      <w:r w:rsidR="001D1818" w:rsidRPr="001D1818">
        <w:rPr>
          <w:color w:val="000000" w:themeColor="text1"/>
          <w:szCs w:val="28"/>
        </w:rPr>
        <w:t xml:space="preserve">этом, </w:t>
      </w:r>
      <w:r w:rsidR="002F2A89" w:rsidRPr="001D1818">
        <w:rPr>
          <w:color w:val="000000" w:themeColor="text1"/>
          <w:szCs w:val="28"/>
        </w:rPr>
        <w:t xml:space="preserve">эксперты </w:t>
      </w:r>
      <w:r w:rsidR="001D1818" w:rsidRPr="001D1818">
        <w:rPr>
          <w:color w:val="000000" w:themeColor="text1"/>
          <w:szCs w:val="28"/>
        </w:rPr>
        <w:t xml:space="preserve">отмечают </w:t>
      </w:r>
      <w:r w:rsidR="006F6E7A" w:rsidRPr="001D1818">
        <w:rPr>
          <w:color w:val="000000" w:themeColor="text1"/>
        </w:rPr>
        <w:t xml:space="preserve">крайне низкую заинтересованность реального сектора экономики в создаваемых </w:t>
      </w:r>
      <w:r w:rsidR="001D1818" w:rsidRPr="001D1818">
        <w:rPr>
          <w:color w:val="000000" w:themeColor="text1"/>
        </w:rPr>
        <w:t xml:space="preserve">научным сообществом </w:t>
      </w:r>
      <w:r w:rsidR="006F6E7A" w:rsidRPr="001D1818">
        <w:rPr>
          <w:color w:val="000000" w:themeColor="text1"/>
        </w:rPr>
        <w:t xml:space="preserve">результатах научно-технической деятельности, а </w:t>
      </w:r>
      <w:r w:rsidR="001D1818" w:rsidRPr="001D1818">
        <w:rPr>
          <w:color w:val="000000" w:themeColor="text1"/>
        </w:rPr>
        <w:t>постоянное</w:t>
      </w:r>
      <w:r w:rsidR="006F6E7A" w:rsidRPr="001D1818">
        <w:rPr>
          <w:color w:val="000000" w:themeColor="text1"/>
        </w:rPr>
        <w:t xml:space="preserve"> финансирование проектов государственными институтами развития на протяжении инновационной цепочки не обеспечивается</w:t>
      </w:r>
      <w:r w:rsidR="006F6E7A" w:rsidRPr="001D1818">
        <w:rPr>
          <w:rStyle w:val="FootnoteReference"/>
          <w:color w:val="000000" w:themeColor="text1"/>
        </w:rPr>
        <w:footnoteReference w:id="1"/>
      </w:r>
      <w:r w:rsidR="006F6E7A" w:rsidRPr="001D1818">
        <w:rPr>
          <w:color w:val="000000" w:themeColor="text1"/>
        </w:rPr>
        <w:t xml:space="preserve">. Так, ключевой проблемой существующей модели финансирования разработок является   </w:t>
      </w:r>
      <w:r w:rsidR="002F2A89" w:rsidRPr="001D1818">
        <w:rPr>
          <w:color w:val="000000" w:themeColor="text1"/>
        </w:rPr>
        <w:t>«</w:t>
      </w:r>
      <w:r w:rsidR="006F6E7A" w:rsidRPr="001D1818">
        <w:rPr>
          <w:color w:val="000000" w:themeColor="text1"/>
        </w:rPr>
        <w:t>отсутствие интересанта формируемых научно-технических заделов, технологий, инновационных проектов в лице корпораций, инвесторов, государственных органов, что приводит к недостатку отраслевой и рыночной экспертизы в проектах, а также к отсутствию инвестиций</w:t>
      </w:r>
      <w:r w:rsidR="001D1818">
        <w:rPr>
          <w:color w:val="000000" w:themeColor="text1"/>
        </w:rPr>
        <w:t xml:space="preserve"> на</w:t>
      </w:r>
      <w:r w:rsidR="006F6E7A" w:rsidRPr="001D1818">
        <w:rPr>
          <w:color w:val="000000" w:themeColor="text1"/>
        </w:rPr>
        <w:t xml:space="preserve"> стадиях после НИР (например, стадии ОКР или стадии А/</w:t>
      </w:r>
      <w:proofErr w:type="spellStart"/>
      <w:r w:rsidR="006F6E7A" w:rsidRPr="001D1818">
        <w:rPr>
          <w:color w:val="000000" w:themeColor="text1"/>
        </w:rPr>
        <w:t>Round</w:t>
      </w:r>
      <w:proofErr w:type="spellEnd"/>
      <w:r w:rsidR="006F6E7A" w:rsidRPr="001D1818">
        <w:rPr>
          <w:color w:val="000000" w:themeColor="text1"/>
        </w:rPr>
        <w:t xml:space="preserve"> A и дальше, для венчурных инвестиций</w:t>
      </w:r>
      <w:r w:rsidR="00EA4EA2">
        <w:rPr>
          <w:color w:val="000000" w:themeColor="text1"/>
        </w:rPr>
        <w:t>)»</w:t>
      </w:r>
      <w:r w:rsidR="006F6E7A" w:rsidRPr="001D1818">
        <w:rPr>
          <w:rStyle w:val="FootnoteReference"/>
          <w:color w:val="000000" w:themeColor="text1"/>
        </w:rPr>
        <w:footnoteReference w:id="2"/>
      </w:r>
      <w:r w:rsidR="006F6E7A" w:rsidRPr="001D1818">
        <w:rPr>
          <w:color w:val="000000" w:themeColor="text1"/>
        </w:rPr>
        <w:t xml:space="preserve">. </w:t>
      </w:r>
      <w:r w:rsidR="002F2A89" w:rsidRPr="001D1818">
        <w:rPr>
          <w:color w:val="000000" w:themeColor="text1"/>
        </w:rPr>
        <w:t>Кроме того</w:t>
      </w:r>
      <w:r w:rsidR="002F2A89" w:rsidRPr="001D1818">
        <w:rPr>
          <w:color w:val="000000" w:themeColor="text1"/>
          <w:szCs w:val="28"/>
        </w:rPr>
        <w:t>,</w:t>
      </w:r>
      <w:r w:rsidRPr="001D1818">
        <w:rPr>
          <w:color w:val="000000" w:themeColor="text1"/>
          <w:szCs w:val="28"/>
        </w:rPr>
        <w:t xml:space="preserve"> государственное финансирование наукоемких проектов и технологий часто в конечном итоге служит стоп-фактором для перехода идеи на новый уровень развития и поиска иных (частных) источников финансирования</w:t>
      </w:r>
      <w:r w:rsidRPr="001D1818">
        <w:rPr>
          <w:rStyle w:val="FootnoteReference"/>
          <w:color w:val="000000" w:themeColor="text1"/>
          <w:szCs w:val="28"/>
        </w:rPr>
        <w:footnoteReference w:id="3"/>
      </w:r>
      <w:r w:rsidRPr="001D1818">
        <w:rPr>
          <w:color w:val="000000" w:themeColor="text1"/>
          <w:szCs w:val="28"/>
        </w:rPr>
        <w:t>.</w:t>
      </w:r>
      <w:r w:rsidR="006F6E7A" w:rsidRPr="001D1818">
        <w:rPr>
          <w:color w:val="000000" w:themeColor="text1"/>
          <w:szCs w:val="28"/>
        </w:rPr>
        <w:t xml:space="preserve"> </w:t>
      </w:r>
      <w:r w:rsidRPr="001D1818">
        <w:rPr>
          <w:color w:val="000000" w:themeColor="text1"/>
          <w:szCs w:val="28"/>
        </w:rPr>
        <w:t>Вследствие этого количество идей, доведенных до состояния</w:t>
      </w:r>
      <w:r w:rsidR="002977C3" w:rsidRPr="001D1818">
        <w:rPr>
          <w:color w:val="000000" w:themeColor="text1"/>
          <w:szCs w:val="28"/>
        </w:rPr>
        <w:t>,</w:t>
      </w:r>
      <w:r w:rsidRPr="001D1818">
        <w:rPr>
          <w:color w:val="000000" w:themeColor="text1"/>
          <w:szCs w:val="28"/>
        </w:rPr>
        <w:t xml:space="preserve"> пригодного для дальнейшей коммерциализации</w:t>
      </w:r>
      <w:r w:rsidR="002977C3" w:rsidRPr="001D1818">
        <w:rPr>
          <w:color w:val="000000" w:themeColor="text1"/>
          <w:szCs w:val="28"/>
        </w:rPr>
        <w:t>,</w:t>
      </w:r>
      <w:r w:rsidRPr="001D1818">
        <w:rPr>
          <w:color w:val="000000" w:themeColor="text1"/>
          <w:szCs w:val="28"/>
        </w:rPr>
        <w:t xml:space="preserve"> крайне мало.</w:t>
      </w:r>
    </w:p>
    <w:p w:rsidR="00B654DF" w:rsidRPr="00A75F2B" w:rsidRDefault="00B654DF" w:rsidP="00B654DF">
      <w:pPr>
        <w:spacing w:line="360" w:lineRule="auto"/>
        <w:ind w:firstLine="708"/>
        <w:rPr>
          <w:szCs w:val="28"/>
        </w:rPr>
      </w:pPr>
      <w:r w:rsidRPr="00A75F2B">
        <w:rPr>
          <w:szCs w:val="28"/>
        </w:rPr>
        <w:t>В своем послании Федеральному Собранию</w:t>
      </w:r>
      <w:r w:rsidR="00520141" w:rsidRPr="00A75F2B">
        <w:rPr>
          <w:szCs w:val="28"/>
        </w:rPr>
        <w:t xml:space="preserve"> 1</w:t>
      </w:r>
      <w:r w:rsidR="002977C3" w:rsidRPr="00A75F2B">
        <w:rPr>
          <w:szCs w:val="28"/>
        </w:rPr>
        <w:t xml:space="preserve"> марта </w:t>
      </w:r>
      <w:r w:rsidR="00520141" w:rsidRPr="00A75F2B">
        <w:rPr>
          <w:szCs w:val="28"/>
        </w:rPr>
        <w:t>2018</w:t>
      </w:r>
      <w:r w:rsidR="002977C3" w:rsidRPr="00A75F2B">
        <w:rPr>
          <w:szCs w:val="28"/>
        </w:rPr>
        <w:t xml:space="preserve"> года</w:t>
      </w:r>
      <w:r w:rsidRPr="00A75F2B">
        <w:rPr>
          <w:szCs w:val="28"/>
        </w:rPr>
        <w:t xml:space="preserve"> Президент Российской Федерации</w:t>
      </w:r>
      <w:r w:rsidR="00520141" w:rsidRPr="00A75F2B">
        <w:rPr>
          <w:szCs w:val="28"/>
        </w:rPr>
        <w:t xml:space="preserve"> </w:t>
      </w:r>
      <w:r w:rsidRPr="00A75F2B">
        <w:rPr>
          <w:szCs w:val="28"/>
        </w:rPr>
        <w:t xml:space="preserve">указал, что необходимо провести инвентаризацию субсидий и других инструментов прямой поддержки отраслей, нацелить их на создание конкурентных </w:t>
      </w:r>
      <w:r w:rsidR="002977C3" w:rsidRPr="00A75F2B">
        <w:rPr>
          <w:szCs w:val="28"/>
        </w:rPr>
        <w:t xml:space="preserve">товаров. </w:t>
      </w:r>
      <w:r w:rsidRPr="00A75F2B">
        <w:rPr>
          <w:szCs w:val="28"/>
        </w:rPr>
        <w:t>Вторым важным источником роста высокотехнологичных отраслей является увеличение инвестиций, при этом задача довести их до 27</w:t>
      </w:r>
      <w:r w:rsidR="00A75F2B">
        <w:rPr>
          <w:szCs w:val="28"/>
        </w:rPr>
        <w:t xml:space="preserve"> процентов</w:t>
      </w:r>
      <w:r w:rsidRPr="00A75F2B">
        <w:rPr>
          <w:szCs w:val="28"/>
        </w:rPr>
        <w:t xml:space="preserve"> от ВВП, к сожалению, пока не решена.</w:t>
      </w:r>
    </w:p>
    <w:p w:rsidR="00B654DF" w:rsidRPr="00A75F2B" w:rsidRDefault="00B654DF">
      <w:pPr>
        <w:spacing w:line="360" w:lineRule="auto"/>
        <w:ind w:firstLine="708"/>
        <w:rPr>
          <w:szCs w:val="28"/>
        </w:rPr>
      </w:pPr>
      <w:r w:rsidRPr="00A75F2B">
        <w:rPr>
          <w:szCs w:val="28"/>
        </w:rPr>
        <w:t xml:space="preserve">На данный момент в сопоставлении с другими странами российский рынок частных инвестиций в инновационные компании характеризуется своей </w:t>
      </w:r>
      <w:r w:rsidR="002977C3" w:rsidRPr="00A75F2B">
        <w:rPr>
          <w:szCs w:val="28"/>
        </w:rPr>
        <w:t>незрелостью</w:t>
      </w:r>
      <w:r w:rsidRPr="00A75F2B">
        <w:rPr>
          <w:szCs w:val="28"/>
        </w:rPr>
        <w:t>. Частные инвесторы неохотно вовлекаются в высокотехнологичные проекты на ранних стадиях развития во многом по причине отсутствия оформившейся эк</w:t>
      </w:r>
      <w:r w:rsidR="002977C3" w:rsidRPr="00A75F2B">
        <w:rPr>
          <w:szCs w:val="28"/>
        </w:rPr>
        <w:t>осистемы поддержки этого рынка, хотя п</w:t>
      </w:r>
      <w:r w:rsidRPr="00A75F2B">
        <w:rPr>
          <w:szCs w:val="28"/>
        </w:rPr>
        <w:t xml:space="preserve">о данным </w:t>
      </w:r>
      <w:r w:rsidR="002977C3" w:rsidRPr="00A75F2B">
        <w:rPr>
          <w:szCs w:val="28"/>
        </w:rPr>
        <w:t>ряда</w:t>
      </w:r>
      <w:r w:rsidRPr="00A75F2B">
        <w:rPr>
          <w:szCs w:val="28"/>
        </w:rPr>
        <w:t xml:space="preserve"> исследований, российский рынок</w:t>
      </w:r>
      <w:r w:rsidR="00DF4DF3" w:rsidRPr="00A75F2B">
        <w:rPr>
          <w:szCs w:val="28"/>
        </w:rPr>
        <w:t xml:space="preserve"> частных инвестиций</w:t>
      </w:r>
      <w:r w:rsidRPr="00A75F2B">
        <w:rPr>
          <w:szCs w:val="28"/>
        </w:rPr>
        <w:t xml:space="preserve"> имеет потенциал кратного роста.</w:t>
      </w:r>
      <w:r w:rsidR="006B21E0">
        <w:rPr>
          <w:szCs w:val="28"/>
        </w:rPr>
        <w:t xml:space="preserve"> Так, согласно последним данным, количество людей</w:t>
      </w:r>
      <w:r w:rsidR="00CD6F94" w:rsidRPr="00CD6F94">
        <w:rPr>
          <w:szCs w:val="28"/>
        </w:rPr>
        <w:t xml:space="preserve"> </w:t>
      </w:r>
      <w:r w:rsidR="00CD6F94">
        <w:rPr>
          <w:szCs w:val="28"/>
        </w:rPr>
        <w:t>в России</w:t>
      </w:r>
      <w:r w:rsidR="006B21E0">
        <w:rPr>
          <w:szCs w:val="28"/>
        </w:rPr>
        <w:t>, чей ежегодный доход превосходит 1,5 млн рублей</w:t>
      </w:r>
      <w:r w:rsidR="00CD6F94">
        <w:rPr>
          <w:szCs w:val="28"/>
        </w:rPr>
        <w:t>,</w:t>
      </w:r>
      <w:r w:rsidR="006B21E0">
        <w:rPr>
          <w:szCs w:val="28"/>
        </w:rPr>
        <w:t xml:space="preserve"> превышает 400 тыс. человек, при этом у 200 тыс</w:t>
      </w:r>
      <w:r w:rsidR="00CD6F94" w:rsidRPr="00CD6F94">
        <w:rPr>
          <w:szCs w:val="28"/>
        </w:rPr>
        <w:t>.</w:t>
      </w:r>
      <w:r w:rsidR="006B21E0">
        <w:rPr>
          <w:szCs w:val="28"/>
        </w:rPr>
        <w:t xml:space="preserve"> человек состояние превышает 30 млн рублей</w:t>
      </w:r>
      <w:r w:rsidR="00CD6F94">
        <w:rPr>
          <w:szCs w:val="28"/>
        </w:rPr>
        <w:t xml:space="preserve"> в год</w:t>
      </w:r>
      <w:r w:rsidR="006B21E0">
        <w:rPr>
          <w:rStyle w:val="FootnoteReference"/>
          <w:szCs w:val="28"/>
        </w:rPr>
        <w:footnoteReference w:id="4"/>
      </w:r>
      <w:r w:rsidR="006B21E0">
        <w:rPr>
          <w:szCs w:val="28"/>
        </w:rPr>
        <w:t xml:space="preserve">. </w:t>
      </w:r>
      <w:r w:rsidRPr="00A75F2B">
        <w:rPr>
          <w:szCs w:val="28"/>
        </w:rPr>
        <w:t xml:space="preserve">При этом </w:t>
      </w:r>
      <w:r w:rsidR="00520141" w:rsidRPr="00A75F2B">
        <w:rPr>
          <w:szCs w:val="28"/>
        </w:rPr>
        <w:t xml:space="preserve">основным драйвером роста числа активных бизнес-ангелов является </w:t>
      </w:r>
      <w:r w:rsidR="00AA0173" w:rsidRPr="00A75F2B">
        <w:rPr>
          <w:szCs w:val="28"/>
        </w:rPr>
        <w:t>повышение инвестиционной</w:t>
      </w:r>
      <w:r w:rsidR="00520141" w:rsidRPr="00A75F2B">
        <w:rPr>
          <w:szCs w:val="28"/>
        </w:rPr>
        <w:t xml:space="preserve"> привле</w:t>
      </w:r>
      <w:r w:rsidR="00AA0173" w:rsidRPr="00A75F2B">
        <w:rPr>
          <w:szCs w:val="28"/>
        </w:rPr>
        <w:t xml:space="preserve">кательности </w:t>
      </w:r>
      <w:r w:rsidR="00520141" w:rsidRPr="00A75F2B">
        <w:rPr>
          <w:szCs w:val="28"/>
        </w:rPr>
        <w:t xml:space="preserve"> частных инвестиций для инвесторов. </w:t>
      </w:r>
      <w:r w:rsidRPr="00A75F2B">
        <w:rPr>
          <w:szCs w:val="28"/>
        </w:rPr>
        <w:t xml:space="preserve"> </w:t>
      </w:r>
    </w:p>
    <w:p w:rsidR="00B94929" w:rsidRPr="00A75F2B" w:rsidRDefault="00B94929">
      <w:pPr>
        <w:spacing w:before="120" w:after="120" w:line="360" w:lineRule="auto"/>
        <w:ind w:firstLine="709"/>
        <w:rPr>
          <w:sz w:val="32"/>
        </w:rPr>
      </w:pPr>
      <w:r w:rsidRPr="00A75F2B">
        <w:rPr>
          <w:szCs w:val="24"/>
        </w:rPr>
        <w:t>Настоящий законопроект предусматривает введение налогового вычета, позволяющего частным инвесторам, вкладывающим свои средства в высокотехнологичные компании на самых ранних этапах их развития, уменьшать уплачиваемый НДФЛ в размере 50</w:t>
      </w:r>
      <w:r w:rsidR="00A75F2B">
        <w:rPr>
          <w:szCs w:val="24"/>
        </w:rPr>
        <w:t xml:space="preserve"> процентов </w:t>
      </w:r>
      <w:r w:rsidRPr="00A75F2B">
        <w:rPr>
          <w:szCs w:val="24"/>
        </w:rPr>
        <w:t xml:space="preserve">от инвестиций, но не более 5 млн рублей в год. Кроме того, законопроект предусматривает уменьшение срока обязательного владениями акциями </w:t>
      </w:r>
      <w:r w:rsidR="003C1656" w:rsidRPr="00A75F2B">
        <w:rPr>
          <w:szCs w:val="24"/>
        </w:rPr>
        <w:t xml:space="preserve">(долями) </w:t>
      </w:r>
      <w:r w:rsidR="00DF4DF3" w:rsidRPr="00A75F2B">
        <w:rPr>
          <w:szCs w:val="24"/>
        </w:rPr>
        <w:t>высокотехнологичной компании</w:t>
      </w:r>
      <w:r w:rsidRPr="00A75F2B">
        <w:rPr>
          <w:szCs w:val="24"/>
        </w:rPr>
        <w:t xml:space="preserve"> с 5 до 2 лет для освобождения от уплаты НДФЛ инвестиционного дохода</w:t>
      </w:r>
      <w:r w:rsidR="003C1656" w:rsidRPr="00A75F2B">
        <w:rPr>
          <w:szCs w:val="24"/>
        </w:rPr>
        <w:t>, полученного в результате реализации  этих акций</w:t>
      </w:r>
      <w:r w:rsidRPr="00A75F2B">
        <w:rPr>
          <w:szCs w:val="24"/>
        </w:rPr>
        <w:t>.</w:t>
      </w:r>
    </w:p>
    <w:p w:rsidR="007D71BD" w:rsidRPr="00A75F2B" w:rsidRDefault="00150153" w:rsidP="002977C3">
      <w:pPr>
        <w:spacing w:before="0" w:after="60" w:line="360" w:lineRule="auto"/>
        <w:ind w:firstLine="720"/>
        <w:rPr>
          <w:szCs w:val="24"/>
        </w:rPr>
      </w:pPr>
      <w:r w:rsidRPr="00A75F2B">
        <w:rPr>
          <w:szCs w:val="24"/>
        </w:rPr>
        <w:t xml:space="preserve">Целью </w:t>
      </w:r>
      <w:r w:rsidR="005B7477" w:rsidRPr="00A75F2B">
        <w:rPr>
          <w:szCs w:val="24"/>
        </w:rPr>
        <w:t>предлагаемых изменений</w:t>
      </w:r>
      <w:r w:rsidRPr="00A75F2B">
        <w:rPr>
          <w:szCs w:val="24"/>
        </w:rPr>
        <w:t xml:space="preserve"> является кратное увеличение высокоэффективных частных инвестиций в перспективные технологичные компании</w:t>
      </w:r>
      <w:r w:rsidR="007D71BD" w:rsidRPr="00A75F2B">
        <w:rPr>
          <w:szCs w:val="24"/>
        </w:rPr>
        <w:t xml:space="preserve"> на </w:t>
      </w:r>
      <w:r w:rsidR="007A5F3D">
        <w:rPr>
          <w:szCs w:val="24"/>
        </w:rPr>
        <w:t xml:space="preserve">самых </w:t>
      </w:r>
      <w:r w:rsidR="007D71BD" w:rsidRPr="00A75F2B">
        <w:rPr>
          <w:szCs w:val="24"/>
        </w:rPr>
        <w:t>ранних этапах их развития. Достижение данной цели планируется путем увеличения числа бизнес-ангелов и объемов инвестируемых ими средств. Кроме того, предлагаемые инициативы будут способствовать  активному участию бизнес-ангелов в развити</w:t>
      </w:r>
      <w:r w:rsidR="00CD6F94">
        <w:rPr>
          <w:szCs w:val="24"/>
        </w:rPr>
        <w:t>и</w:t>
      </w:r>
      <w:r w:rsidR="007D71BD" w:rsidRPr="00A75F2B">
        <w:rPr>
          <w:szCs w:val="24"/>
        </w:rPr>
        <w:t xml:space="preserve"> недавно созданных инновационных компаний путем непосредственного курирования их работы и наставничества. </w:t>
      </w:r>
      <w:r w:rsidR="007A5F3D">
        <w:rPr>
          <w:szCs w:val="24"/>
        </w:rPr>
        <w:t xml:space="preserve"> З</w:t>
      </w:r>
      <w:r w:rsidR="003E6B7C">
        <w:rPr>
          <w:szCs w:val="24"/>
        </w:rPr>
        <w:t>аконопроект предусматривает минимальный набор мер, необходимый для качественного изменения инвестиционной активности бизнес-ангелов. Ухудшение параметров предлагаемых мер</w:t>
      </w:r>
      <w:r w:rsidR="00CD6F94">
        <w:rPr>
          <w:szCs w:val="24"/>
        </w:rPr>
        <w:t xml:space="preserve"> понизит инвестиционную привлекательность вложений  на ранних этапах развития компаний, то есть, понизит эффективность мер, поскольку инвесторы</w:t>
      </w:r>
      <w:r w:rsidR="003E6B7C">
        <w:rPr>
          <w:szCs w:val="24"/>
        </w:rPr>
        <w:t xml:space="preserve"> </w:t>
      </w:r>
      <w:r w:rsidR="00CD6F94">
        <w:rPr>
          <w:szCs w:val="24"/>
        </w:rPr>
        <w:t xml:space="preserve">предпочтут </w:t>
      </w:r>
      <w:r w:rsidR="003E6B7C">
        <w:rPr>
          <w:szCs w:val="24"/>
        </w:rPr>
        <w:t>вкладывать средства в компании, находящиеся на более поздних стадиях развития. Таким образом</w:t>
      </w:r>
      <w:r w:rsidR="00CD6F94">
        <w:rPr>
          <w:szCs w:val="24"/>
        </w:rPr>
        <w:t>,</w:t>
      </w:r>
      <w:r w:rsidR="003E6B7C">
        <w:rPr>
          <w:szCs w:val="24"/>
        </w:rPr>
        <w:t xml:space="preserve"> предлагаемые меры </w:t>
      </w:r>
      <w:r w:rsidR="007D71BD" w:rsidRPr="00A75F2B">
        <w:rPr>
          <w:szCs w:val="24"/>
        </w:rPr>
        <w:t xml:space="preserve">направлены на создание инфраструктуры поддержки субъектов цифровой экономики </w:t>
      </w:r>
      <w:r w:rsidR="00CD6F94">
        <w:rPr>
          <w:szCs w:val="24"/>
        </w:rPr>
        <w:t xml:space="preserve">на самых ранних этапах развития </w:t>
      </w:r>
      <w:r w:rsidR="007D71BD" w:rsidRPr="00A75F2B">
        <w:rPr>
          <w:szCs w:val="24"/>
        </w:rPr>
        <w:t>в соответствии с лучшей мировой практикой.</w:t>
      </w:r>
    </w:p>
    <w:p w:rsidR="00B95E16" w:rsidRPr="00A75F2B" w:rsidRDefault="007D71BD" w:rsidP="002977C3">
      <w:pPr>
        <w:spacing w:before="0" w:after="60" w:line="360" w:lineRule="auto"/>
        <w:rPr>
          <w:szCs w:val="24"/>
        </w:rPr>
      </w:pPr>
      <w:r w:rsidRPr="00A75F2B">
        <w:rPr>
          <w:szCs w:val="24"/>
        </w:rPr>
        <w:t xml:space="preserve">В настоящее время в российском </w:t>
      </w:r>
      <w:r w:rsidR="00DF4DF3" w:rsidRPr="00A75F2B">
        <w:rPr>
          <w:szCs w:val="24"/>
        </w:rPr>
        <w:t xml:space="preserve">налоговом </w:t>
      </w:r>
      <w:r w:rsidRPr="00A75F2B">
        <w:rPr>
          <w:szCs w:val="24"/>
        </w:rPr>
        <w:t>законодательстве присутствует ряд положений, позволяющи</w:t>
      </w:r>
      <w:r w:rsidR="005B7477" w:rsidRPr="00A75F2B">
        <w:rPr>
          <w:szCs w:val="24"/>
        </w:rPr>
        <w:t>х</w:t>
      </w:r>
      <w:r w:rsidR="00BA1E48" w:rsidRPr="00A75F2B">
        <w:rPr>
          <w:szCs w:val="24"/>
        </w:rPr>
        <w:t xml:space="preserve"> </w:t>
      </w:r>
      <w:r w:rsidRPr="00A75F2B">
        <w:rPr>
          <w:szCs w:val="24"/>
        </w:rPr>
        <w:t>получить</w:t>
      </w:r>
      <w:r w:rsidR="00BA1E48" w:rsidRPr="00A75F2B">
        <w:rPr>
          <w:szCs w:val="24"/>
        </w:rPr>
        <w:t xml:space="preserve"> </w:t>
      </w:r>
      <w:r w:rsidR="005B7477" w:rsidRPr="00A75F2B">
        <w:rPr>
          <w:szCs w:val="24"/>
        </w:rPr>
        <w:t xml:space="preserve">некоторым инвесторам </w:t>
      </w:r>
      <w:r w:rsidRPr="00A75F2B">
        <w:rPr>
          <w:szCs w:val="24"/>
        </w:rPr>
        <w:t>налоговые преференции.</w:t>
      </w:r>
      <w:r w:rsidR="00BA1E48" w:rsidRPr="00A75F2B">
        <w:rPr>
          <w:szCs w:val="24"/>
        </w:rPr>
        <w:t xml:space="preserve"> Например,</w:t>
      </w:r>
      <w:r w:rsidR="00B95E16" w:rsidRPr="00A75F2B">
        <w:rPr>
          <w:szCs w:val="24"/>
        </w:rPr>
        <w:t xml:space="preserve"> освобождение от уплаты НДФЛ в отношении дохода, полученного от реализации (погашения) акций и облигаций российских высокотехнологичных компаний, при этом к моменту реализации налогоплательщиком указанных ценных бумаг они должны обращаться на организованном рынке ценных бумаг  (абзац 3 пункта 17.2 статьи 217 НК РФ, 284.2.1 НК РФ), освобождение от уплаты НДФЛ в отношении дохода, полученного от реализации (погашения) долей участия в уставном капитале российских организаций, а также акций, указанных в </w:t>
      </w:r>
      <w:hyperlink r:id="rId9" w:history="1">
        <w:r w:rsidR="00B95E16" w:rsidRPr="00A75F2B">
          <w:rPr>
            <w:szCs w:val="24"/>
          </w:rPr>
          <w:t>пункте 2 статьи 284.2</w:t>
        </w:r>
      </w:hyperlink>
      <w:r w:rsidR="00B95E16" w:rsidRPr="00A75F2B">
        <w:rPr>
          <w:szCs w:val="24"/>
        </w:rPr>
        <w:t xml:space="preserve"> НК РФ, при условии, что на дату реализации (погашения) таких акций (долей участия) они непрерывно принадлежали налогоплательщику на праве собственности или ином вещном праве более пяти лет, инвестиционные налоговые вычеты, предусмотренные подпунктами 2 и 3 пункта 1 статьи 219.1 НК РФ.</w:t>
      </w:r>
    </w:p>
    <w:p w:rsidR="007D71BD" w:rsidRPr="00A75F2B" w:rsidRDefault="007D71BD" w:rsidP="002977C3">
      <w:pPr>
        <w:spacing w:before="0" w:after="60" w:line="360" w:lineRule="auto"/>
        <w:ind w:firstLine="720"/>
        <w:rPr>
          <w:szCs w:val="24"/>
        </w:rPr>
      </w:pPr>
      <w:r w:rsidRPr="00A75F2B">
        <w:rPr>
          <w:szCs w:val="24"/>
        </w:rPr>
        <w:t>Однако указанн</w:t>
      </w:r>
      <w:r w:rsidR="00B95E16" w:rsidRPr="00A75F2B">
        <w:rPr>
          <w:szCs w:val="24"/>
        </w:rPr>
        <w:t xml:space="preserve">ых мер недостаточно для стимулирования бизнес-ангельских инвестиций, поскольку они, напротив способствуют более продолжительному владению акций компаний, а сумма инвестиционного вычета </w:t>
      </w:r>
      <w:r w:rsidR="00DF4DF3" w:rsidRPr="00A75F2B">
        <w:rPr>
          <w:szCs w:val="24"/>
        </w:rPr>
        <w:t>несущественна для инвестора</w:t>
      </w:r>
      <w:r w:rsidR="00B95E16" w:rsidRPr="00A75F2B">
        <w:rPr>
          <w:szCs w:val="24"/>
        </w:rPr>
        <w:t xml:space="preserve">. </w:t>
      </w:r>
    </w:p>
    <w:p w:rsidR="00A80DFD" w:rsidRPr="00A75F2B" w:rsidRDefault="006D51E7" w:rsidP="002977C3">
      <w:pPr>
        <w:spacing w:before="0" w:after="60" w:line="360" w:lineRule="auto"/>
        <w:ind w:firstLine="720"/>
        <w:rPr>
          <w:szCs w:val="24"/>
        </w:rPr>
      </w:pPr>
      <w:r w:rsidRPr="00A75F2B">
        <w:rPr>
          <w:szCs w:val="24"/>
        </w:rPr>
        <w:t>Примеры мировой практики (Великобритани</w:t>
      </w:r>
      <w:r w:rsidR="005B7477" w:rsidRPr="00A75F2B">
        <w:rPr>
          <w:szCs w:val="24"/>
        </w:rPr>
        <w:t>я</w:t>
      </w:r>
      <w:r w:rsidRPr="00A75F2B">
        <w:rPr>
          <w:szCs w:val="24"/>
        </w:rPr>
        <w:t>, Ирланди</w:t>
      </w:r>
      <w:r w:rsidR="005B7477" w:rsidRPr="00A75F2B">
        <w:rPr>
          <w:szCs w:val="24"/>
        </w:rPr>
        <w:t>я</w:t>
      </w:r>
      <w:r w:rsidRPr="00A75F2B">
        <w:rPr>
          <w:szCs w:val="24"/>
        </w:rPr>
        <w:t>, Германи</w:t>
      </w:r>
      <w:r w:rsidR="005B7477" w:rsidRPr="00A75F2B">
        <w:rPr>
          <w:szCs w:val="24"/>
        </w:rPr>
        <w:t>я</w:t>
      </w:r>
      <w:r w:rsidRPr="00A75F2B">
        <w:rPr>
          <w:szCs w:val="24"/>
        </w:rPr>
        <w:t>) показывают, что введение эффективных мер поддержки бизнес-ангелов способствует кратному росту бизнес-ангельских инвестиций. Так, в Ирландии в первый год действия льгот</w:t>
      </w:r>
      <w:r w:rsidR="009625B4" w:rsidRPr="00A75F2B">
        <w:rPr>
          <w:szCs w:val="24"/>
        </w:rPr>
        <w:t>ы</w:t>
      </w:r>
      <w:r w:rsidRPr="00A75F2B">
        <w:rPr>
          <w:szCs w:val="24"/>
        </w:rPr>
        <w:t xml:space="preserve"> количество бизнес-ангелов увеличилось втрое</w:t>
      </w:r>
      <w:r w:rsidRPr="00A75F2B">
        <w:rPr>
          <w:rStyle w:val="FootnoteReference"/>
          <w:szCs w:val="24"/>
        </w:rPr>
        <w:footnoteReference w:id="5"/>
      </w:r>
      <w:r w:rsidR="00C7009F" w:rsidRPr="00A75F2B">
        <w:rPr>
          <w:szCs w:val="24"/>
        </w:rPr>
        <w:t xml:space="preserve">. С 2003 по 2006 год во Франции наблюдалась динамика уменьшения числа бизнес-ангелов, </w:t>
      </w:r>
      <w:r w:rsidR="009767D9" w:rsidRPr="00A75F2B">
        <w:rPr>
          <w:szCs w:val="24"/>
        </w:rPr>
        <w:t>п</w:t>
      </w:r>
      <w:r w:rsidR="00C7009F" w:rsidRPr="00A75F2B">
        <w:rPr>
          <w:szCs w:val="24"/>
        </w:rPr>
        <w:t xml:space="preserve">ри этом увеличение максимального размера предоставляемых бизнес-ангелам льгот позволило изменить эту динамику, уже в 2008 году количество бизнес-ангелов </w:t>
      </w:r>
      <w:r w:rsidR="00A02424" w:rsidRPr="00A75F2B">
        <w:rPr>
          <w:szCs w:val="24"/>
        </w:rPr>
        <w:t xml:space="preserve">увеличилось </w:t>
      </w:r>
      <w:r w:rsidR="00C7009F" w:rsidRPr="00A75F2B">
        <w:rPr>
          <w:szCs w:val="24"/>
        </w:rPr>
        <w:t>вдвое</w:t>
      </w:r>
      <w:r w:rsidR="00C7009F" w:rsidRPr="00A75F2B">
        <w:rPr>
          <w:rStyle w:val="FootnoteReference"/>
          <w:szCs w:val="24"/>
        </w:rPr>
        <w:footnoteReference w:id="6"/>
      </w:r>
      <w:r w:rsidR="00C7009F" w:rsidRPr="00A75F2B">
        <w:rPr>
          <w:szCs w:val="24"/>
        </w:rPr>
        <w:t xml:space="preserve">. </w:t>
      </w:r>
      <w:r w:rsidR="009625B4" w:rsidRPr="00A75F2B">
        <w:rPr>
          <w:szCs w:val="24"/>
        </w:rPr>
        <w:t xml:space="preserve">Достичь аналогичного эффекта в Российской Федерации можно только при помощи введения действительно эффективных мер стимулирования. </w:t>
      </w:r>
      <w:r w:rsidR="00A80DFD" w:rsidRPr="00A75F2B">
        <w:rPr>
          <w:szCs w:val="24"/>
        </w:rPr>
        <w:t xml:space="preserve">При этом важно понимать, что ключевым фактором для принятия решения об инвестировании средств в </w:t>
      </w:r>
      <w:proofErr w:type="spellStart"/>
      <w:r w:rsidR="00A80DFD" w:rsidRPr="00A75F2B">
        <w:rPr>
          <w:szCs w:val="24"/>
        </w:rPr>
        <w:t>высокорискованный</w:t>
      </w:r>
      <w:proofErr w:type="spellEnd"/>
      <w:r w:rsidR="00A80DFD" w:rsidRPr="00A75F2B">
        <w:rPr>
          <w:szCs w:val="24"/>
        </w:rPr>
        <w:t xml:space="preserve"> проект является его доходность. В то же время </w:t>
      </w:r>
      <w:r w:rsidR="009767D9" w:rsidRPr="00A75F2B">
        <w:rPr>
          <w:szCs w:val="24"/>
        </w:rPr>
        <w:t xml:space="preserve">сейчас </w:t>
      </w:r>
      <w:r w:rsidR="00A80DFD" w:rsidRPr="00A75F2B">
        <w:rPr>
          <w:szCs w:val="24"/>
        </w:rPr>
        <w:t>средняя внутренняя норма доходности так</w:t>
      </w:r>
      <w:r w:rsidR="005B7477" w:rsidRPr="00A75F2B">
        <w:rPr>
          <w:szCs w:val="24"/>
        </w:rPr>
        <w:t>их</w:t>
      </w:r>
      <w:r w:rsidR="00A80DFD" w:rsidRPr="00A75F2B">
        <w:rPr>
          <w:szCs w:val="24"/>
        </w:rPr>
        <w:t xml:space="preserve"> инвестици</w:t>
      </w:r>
      <w:r w:rsidR="005B7477" w:rsidRPr="00A75F2B">
        <w:rPr>
          <w:szCs w:val="24"/>
        </w:rPr>
        <w:t>й</w:t>
      </w:r>
      <w:r w:rsidR="00A80DFD" w:rsidRPr="00A75F2B">
        <w:rPr>
          <w:szCs w:val="24"/>
        </w:rPr>
        <w:t xml:space="preserve"> с учетом риска</w:t>
      </w:r>
      <w:r w:rsidR="005B7477" w:rsidRPr="00A75F2B">
        <w:rPr>
          <w:szCs w:val="24"/>
        </w:rPr>
        <w:t xml:space="preserve"> инвестирования в проекты на ранней стадии</w:t>
      </w:r>
      <w:r w:rsidR="00DF4DF3" w:rsidRPr="00A75F2B">
        <w:rPr>
          <w:szCs w:val="24"/>
        </w:rPr>
        <w:t xml:space="preserve"> </w:t>
      </w:r>
      <w:r w:rsidR="00BA076D" w:rsidRPr="00A75F2B">
        <w:rPr>
          <w:szCs w:val="24"/>
        </w:rPr>
        <w:t xml:space="preserve">развития </w:t>
      </w:r>
      <w:r w:rsidR="00A80DFD" w:rsidRPr="00A75F2B">
        <w:rPr>
          <w:szCs w:val="24"/>
        </w:rPr>
        <w:t xml:space="preserve">оказывается отрицательной. </w:t>
      </w:r>
    </w:p>
    <w:p w:rsidR="00221DDB" w:rsidRPr="00A75F2B" w:rsidRDefault="005B7477" w:rsidP="002977C3">
      <w:pPr>
        <w:spacing w:before="0" w:after="60" w:line="360" w:lineRule="auto"/>
        <w:ind w:firstLine="720"/>
        <w:rPr>
          <w:szCs w:val="24"/>
        </w:rPr>
      </w:pPr>
      <w:r w:rsidRPr="00A75F2B">
        <w:rPr>
          <w:szCs w:val="24"/>
        </w:rPr>
        <w:t>По результатам анализа</w:t>
      </w:r>
      <w:r w:rsidR="00DF4DF3" w:rsidRPr="00A75F2B">
        <w:rPr>
          <w:szCs w:val="24"/>
        </w:rPr>
        <w:t xml:space="preserve"> </w:t>
      </w:r>
      <w:r w:rsidRPr="00A75F2B">
        <w:rPr>
          <w:szCs w:val="24"/>
        </w:rPr>
        <w:t>лучших мировых практик</w:t>
      </w:r>
      <w:r w:rsidR="00DF4DF3" w:rsidRPr="00A75F2B">
        <w:rPr>
          <w:szCs w:val="24"/>
        </w:rPr>
        <w:t xml:space="preserve"> </w:t>
      </w:r>
      <w:r w:rsidR="00A80DFD" w:rsidRPr="00A75F2B">
        <w:rPr>
          <w:szCs w:val="24"/>
        </w:rPr>
        <w:t>стимулирования бизнес-ангельских инвестиций</w:t>
      </w:r>
      <w:r w:rsidRPr="00A75F2B">
        <w:rPr>
          <w:szCs w:val="24"/>
        </w:rPr>
        <w:t>, а также на основе финансовых моделей инвестиционного проекта с разными сценариями поддержки,</w:t>
      </w:r>
      <w:r w:rsidR="00A80DFD" w:rsidRPr="00A75F2B">
        <w:rPr>
          <w:szCs w:val="24"/>
        </w:rPr>
        <w:t xml:space="preserve"> наиболее эффективным с точки зрения влияния на доходность инвестиций </w:t>
      </w:r>
      <w:r w:rsidRPr="00A75F2B">
        <w:rPr>
          <w:szCs w:val="24"/>
        </w:rPr>
        <w:t>был признан</w:t>
      </w:r>
      <w:r w:rsidR="00DF4DF3" w:rsidRPr="00A75F2B">
        <w:rPr>
          <w:szCs w:val="24"/>
        </w:rPr>
        <w:t xml:space="preserve"> </w:t>
      </w:r>
      <w:r w:rsidR="00A80DFD" w:rsidRPr="00A75F2B">
        <w:rPr>
          <w:szCs w:val="24"/>
        </w:rPr>
        <w:t>налоговый вычет, позволяющий уменьшить налогооблагаемую базу по налогу на доходы физических лиц</w:t>
      </w:r>
      <w:r w:rsidRPr="00A75F2B">
        <w:rPr>
          <w:szCs w:val="24"/>
        </w:rPr>
        <w:t xml:space="preserve"> (НДФЛ)</w:t>
      </w:r>
      <w:r w:rsidR="00A80DFD" w:rsidRPr="00A75F2B">
        <w:rPr>
          <w:szCs w:val="24"/>
        </w:rPr>
        <w:t xml:space="preserve"> на 50</w:t>
      </w:r>
      <w:r w:rsidR="00A75F2B">
        <w:rPr>
          <w:szCs w:val="24"/>
        </w:rPr>
        <w:t xml:space="preserve"> процентов</w:t>
      </w:r>
      <w:r w:rsidR="00A80DFD" w:rsidRPr="00A75F2B">
        <w:rPr>
          <w:szCs w:val="24"/>
        </w:rPr>
        <w:t xml:space="preserve"> от суммы инвестиций.</w:t>
      </w:r>
      <w:r w:rsidR="00221DDB" w:rsidRPr="00A75F2B">
        <w:rPr>
          <w:szCs w:val="24"/>
        </w:rPr>
        <w:t xml:space="preserve"> Иные меры поддержки</w:t>
      </w:r>
      <w:r w:rsidR="00282C62" w:rsidRPr="00A75F2B">
        <w:rPr>
          <w:szCs w:val="24"/>
        </w:rPr>
        <w:t>, например</w:t>
      </w:r>
      <w:r w:rsidR="00BA076D" w:rsidRPr="00A75F2B">
        <w:rPr>
          <w:szCs w:val="24"/>
        </w:rPr>
        <w:t>,</w:t>
      </w:r>
      <w:r w:rsidR="00282C62" w:rsidRPr="00A75F2B">
        <w:rPr>
          <w:szCs w:val="24"/>
        </w:rPr>
        <w:t xml:space="preserve"> гранты</w:t>
      </w:r>
      <w:r w:rsidR="00C7009F" w:rsidRPr="00A75F2B">
        <w:rPr>
          <w:szCs w:val="24"/>
        </w:rPr>
        <w:t xml:space="preserve"> </w:t>
      </w:r>
      <w:r w:rsidR="004270D3" w:rsidRPr="00A75F2B">
        <w:rPr>
          <w:szCs w:val="24"/>
        </w:rPr>
        <w:t>или право</w:t>
      </w:r>
      <w:r w:rsidR="00282C62" w:rsidRPr="00A75F2B">
        <w:rPr>
          <w:szCs w:val="24"/>
        </w:rPr>
        <w:t xml:space="preserve"> инвестора</w:t>
      </w:r>
      <w:r w:rsidR="00221DDB" w:rsidRPr="00A75F2B">
        <w:rPr>
          <w:szCs w:val="24"/>
        </w:rPr>
        <w:t xml:space="preserve"> умень</w:t>
      </w:r>
      <w:r w:rsidR="00282C62" w:rsidRPr="00A75F2B">
        <w:rPr>
          <w:szCs w:val="24"/>
        </w:rPr>
        <w:t>шить свой доход на сумму убытка</w:t>
      </w:r>
      <w:r w:rsidR="00BA076D" w:rsidRPr="00A75F2B">
        <w:rPr>
          <w:szCs w:val="24"/>
        </w:rPr>
        <w:t>,</w:t>
      </w:r>
      <w:r w:rsidR="00282C62" w:rsidRPr="00A75F2B">
        <w:rPr>
          <w:szCs w:val="24"/>
        </w:rPr>
        <w:t xml:space="preserve"> полученного </w:t>
      </w:r>
      <w:r w:rsidR="00221DDB" w:rsidRPr="00A75F2B">
        <w:rPr>
          <w:szCs w:val="24"/>
        </w:rPr>
        <w:t xml:space="preserve">в результате инвестирования в </w:t>
      </w:r>
      <w:r w:rsidR="00BA076D" w:rsidRPr="00A75F2B">
        <w:rPr>
          <w:szCs w:val="24"/>
        </w:rPr>
        <w:t>высокотехнологичные компании на ранней стадии развития</w:t>
      </w:r>
      <w:r w:rsidR="00221DDB" w:rsidRPr="00A75F2B">
        <w:rPr>
          <w:szCs w:val="24"/>
        </w:rPr>
        <w:t xml:space="preserve">, </w:t>
      </w:r>
      <w:r w:rsidR="00282C62" w:rsidRPr="00A75F2B">
        <w:rPr>
          <w:szCs w:val="24"/>
        </w:rPr>
        <w:t xml:space="preserve">были </w:t>
      </w:r>
      <w:r w:rsidR="00221DDB" w:rsidRPr="00A75F2B">
        <w:rPr>
          <w:szCs w:val="24"/>
        </w:rPr>
        <w:t xml:space="preserve">признаны неэффективными ввиду их незначительного </w:t>
      </w:r>
      <w:r w:rsidR="00282C62" w:rsidRPr="00A75F2B">
        <w:rPr>
          <w:szCs w:val="24"/>
        </w:rPr>
        <w:t>влияния на инвестиционн</w:t>
      </w:r>
      <w:r w:rsidR="004270D3" w:rsidRPr="00A75F2B">
        <w:rPr>
          <w:szCs w:val="24"/>
        </w:rPr>
        <w:t>ую привлекательность вложения средств</w:t>
      </w:r>
      <w:r w:rsidR="00BA076D" w:rsidRPr="00A75F2B">
        <w:rPr>
          <w:szCs w:val="24"/>
        </w:rPr>
        <w:t>,</w:t>
      </w:r>
      <w:r w:rsidR="004270D3" w:rsidRPr="00A75F2B">
        <w:rPr>
          <w:szCs w:val="24"/>
        </w:rPr>
        <w:t xml:space="preserve"> а также сложност</w:t>
      </w:r>
      <w:r w:rsidR="00AA1D39" w:rsidRPr="00A75F2B">
        <w:rPr>
          <w:szCs w:val="24"/>
        </w:rPr>
        <w:t>и</w:t>
      </w:r>
      <w:r w:rsidR="004270D3" w:rsidRPr="00A75F2B">
        <w:rPr>
          <w:szCs w:val="24"/>
        </w:rPr>
        <w:t xml:space="preserve"> их администрирования.  </w:t>
      </w:r>
    </w:p>
    <w:p w:rsidR="006D51E7" w:rsidRPr="00A75F2B" w:rsidRDefault="00BA076D" w:rsidP="002977C3">
      <w:pPr>
        <w:spacing w:before="0" w:after="60" w:line="360" w:lineRule="auto"/>
        <w:ind w:firstLine="720"/>
        <w:rPr>
          <w:szCs w:val="24"/>
        </w:rPr>
      </w:pPr>
      <w:r w:rsidRPr="00A75F2B">
        <w:rPr>
          <w:szCs w:val="24"/>
        </w:rPr>
        <w:t>Кроме этого, предлагается</w:t>
      </w:r>
      <w:r w:rsidR="00A02424" w:rsidRPr="00A75F2B">
        <w:rPr>
          <w:szCs w:val="24"/>
        </w:rPr>
        <w:t xml:space="preserve"> </w:t>
      </w:r>
      <w:r w:rsidR="00A80DFD" w:rsidRPr="00A75F2B">
        <w:rPr>
          <w:szCs w:val="24"/>
        </w:rPr>
        <w:t>умень</w:t>
      </w:r>
      <w:r w:rsidRPr="00A75F2B">
        <w:rPr>
          <w:szCs w:val="24"/>
        </w:rPr>
        <w:t>шить</w:t>
      </w:r>
      <w:r w:rsidR="00A80DFD" w:rsidRPr="00A75F2B">
        <w:rPr>
          <w:szCs w:val="24"/>
        </w:rPr>
        <w:t xml:space="preserve"> минимальн</w:t>
      </w:r>
      <w:r w:rsidRPr="00A75F2B">
        <w:rPr>
          <w:szCs w:val="24"/>
        </w:rPr>
        <w:t>ый</w:t>
      </w:r>
      <w:r w:rsidR="00A80DFD" w:rsidRPr="00A75F2B">
        <w:rPr>
          <w:szCs w:val="24"/>
        </w:rPr>
        <w:t xml:space="preserve"> срок владения акциями</w:t>
      </w:r>
      <w:r w:rsidRPr="00A75F2B">
        <w:rPr>
          <w:szCs w:val="24"/>
        </w:rPr>
        <w:t xml:space="preserve"> (долями)</w:t>
      </w:r>
      <w:r w:rsidR="00A80DFD" w:rsidRPr="00A75F2B">
        <w:rPr>
          <w:szCs w:val="24"/>
        </w:rPr>
        <w:t>, необходим</w:t>
      </w:r>
      <w:r w:rsidRPr="00A75F2B">
        <w:rPr>
          <w:szCs w:val="24"/>
        </w:rPr>
        <w:t>ый</w:t>
      </w:r>
      <w:r w:rsidR="00A80DFD" w:rsidRPr="00A75F2B">
        <w:rPr>
          <w:szCs w:val="24"/>
        </w:rPr>
        <w:t xml:space="preserve"> для освобождения </w:t>
      </w:r>
      <w:r w:rsidRPr="00A75F2B">
        <w:rPr>
          <w:szCs w:val="24"/>
        </w:rPr>
        <w:t xml:space="preserve">от </w:t>
      </w:r>
      <w:r w:rsidR="004270D3" w:rsidRPr="00A75F2B">
        <w:rPr>
          <w:szCs w:val="24"/>
        </w:rPr>
        <w:t xml:space="preserve">НДФЛ </w:t>
      </w:r>
      <w:r w:rsidR="00A80DFD" w:rsidRPr="00A75F2B">
        <w:rPr>
          <w:szCs w:val="24"/>
        </w:rPr>
        <w:t xml:space="preserve">инвестиционного дохода, полученного </w:t>
      </w:r>
      <w:r w:rsidRPr="00A75F2B">
        <w:rPr>
          <w:szCs w:val="24"/>
        </w:rPr>
        <w:t>в результате</w:t>
      </w:r>
      <w:r w:rsidR="00B94929" w:rsidRPr="00A75F2B">
        <w:rPr>
          <w:szCs w:val="24"/>
        </w:rPr>
        <w:t xml:space="preserve"> </w:t>
      </w:r>
      <w:r w:rsidR="00A80DFD" w:rsidRPr="00A75F2B">
        <w:rPr>
          <w:szCs w:val="24"/>
        </w:rPr>
        <w:t xml:space="preserve">их </w:t>
      </w:r>
      <w:r w:rsidRPr="00A75F2B">
        <w:rPr>
          <w:szCs w:val="24"/>
        </w:rPr>
        <w:t>реализации</w:t>
      </w:r>
      <w:r w:rsidR="00A80DFD" w:rsidRPr="00A75F2B">
        <w:rPr>
          <w:szCs w:val="24"/>
        </w:rPr>
        <w:t>. В настоящее время для освобождения инвестиционного дохода от НДФЛ налогоплательщик обязан владеть акциями</w:t>
      </w:r>
      <w:r w:rsidRPr="00A75F2B">
        <w:rPr>
          <w:szCs w:val="24"/>
        </w:rPr>
        <w:t xml:space="preserve"> (долями)</w:t>
      </w:r>
      <w:r w:rsidR="00A80DFD" w:rsidRPr="00A75F2B">
        <w:rPr>
          <w:szCs w:val="24"/>
        </w:rPr>
        <w:t xml:space="preserve"> не менее 5 лет. Ввиду того, что молодые высокотехнологичные компании способны перейти на следующий уро</w:t>
      </w:r>
      <w:r w:rsidR="009F189A" w:rsidRPr="00A75F2B">
        <w:rPr>
          <w:szCs w:val="24"/>
        </w:rPr>
        <w:t>вень развития в течение 1-2 лет,</w:t>
      </w:r>
      <w:r w:rsidR="00A02424" w:rsidRPr="00A75F2B">
        <w:rPr>
          <w:szCs w:val="24"/>
        </w:rPr>
        <w:t xml:space="preserve"> необходимо предоставить бизнес-ангелам возможность выходи</w:t>
      </w:r>
      <w:r w:rsidR="005E4DB1" w:rsidRPr="00A75F2B">
        <w:rPr>
          <w:szCs w:val="24"/>
        </w:rPr>
        <w:t>ть из проект</w:t>
      </w:r>
      <w:r w:rsidR="003C1656" w:rsidRPr="00A75F2B">
        <w:rPr>
          <w:szCs w:val="24"/>
        </w:rPr>
        <w:t>ов</w:t>
      </w:r>
      <w:r w:rsidR="005E4DB1" w:rsidRPr="00A75F2B">
        <w:rPr>
          <w:szCs w:val="24"/>
        </w:rPr>
        <w:t xml:space="preserve"> до истечения пятилетнего</w:t>
      </w:r>
      <w:r w:rsidR="00A02424" w:rsidRPr="00A75F2B">
        <w:rPr>
          <w:szCs w:val="24"/>
        </w:rPr>
        <w:t xml:space="preserve"> срока.</w:t>
      </w:r>
      <w:r w:rsidR="00A02424" w:rsidRPr="00A75F2B" w:rsidDel="00A02424">
        <w:rPr>
          <w:szCs w:val="24"/>
        </w:rPr>
        <w:t xml:space="preserve"> </w:t>
      </w:r>
      <w:r w:rsidR="005E4DB1" w:rsidRPr="00A75F2B">
        <w:rPr>
          <w:szCs w:val="24"/>
        </w:rPr>
        <w:t>С</w:t>
      </w:r>
      <w:r w:rsidR="009F189A" w:rsidRPr="00A75F2B">
        <w:rPr>
          <w:szCs w:val="24"/>
        </w:rPr>
        <w:t xml:space="preserve">окращение этого срока до 2 лет </w:t>
      </w:r>
      <w:r w:rsidRPr="00A75F2B">
        <w:rPr>
          <w:szCs w:val="24"/>
        </w:rPr>
        <w:t>будет способствовать</w:t>
      </w:r>
      <w:r w:rsidR="009F189A" w:rsidRPr="00A75F2B">
        <w:rPr>
          <w:szCs w:val="24"/>
        </w:rPr>
        <w:t xml:space="preserve"> большей заинтересованности бизнес-ангела в поддержке компании для ее еще более стремительного роста. Также предлагаемая мера позволит увеличить оборачиваемость инвестиций, поскольку</w:t>
      </w:r>
      <w:r w:rsidRPr="00A75F2B">
        <w:rPr>
          <w:szCs w:val="24"/>
        </w:rPr>
        <w:t>, как правило,</w:t>
      </w:r>
      <w:r w:rsidR="009F189A" w:rsidRPr="00A75F2B">
        <w:rPr>
          <w:szCs w:val="24"/>
        </w:rPr>
        <w:t xml:space="preserve"> более 80</w:t>
      </w:r>
      <w:r w:rsidR="00A75F2B">
        <w:rPr>
          <w:szCs w:val="24"/>
        </w:rPr>
        <w:t xml:space="preserve"> </w:t>
      </w:r>
      <w:r w:rsidR="00E9279D">
        <w:rPr>
          <w:szCs w:val="24"/>
        </w:rPr>
        <w:t>процентов</w:t>
      </w:r>
      <w:r w:rsidR="009F189A" w:rsidRPr="00A75F2B">
        <w:rPr>
          <w:szCs w:val="24"/>
        </w:rPr>
        <w:t xml:space="preserve"> полученного дохода </w:t>
      </w:r>
      <w:r w:rsidRPr="00A75F2B">
        <w:rPr>
          <w:szCs w:val="24"/>
        </w:rPr>
        <w:t>инвесторы</w:t>
      </w:r>
      <w:r w:rsidR="009F189A" w:rsidRPr="00A75F2B">
        <w:rPr>
          <w:szCs w:val="24"/>
        </w:rPr>
        <w:t xml:space="preserve"> реинвестируют в новые проекты.</w:t>
      </w:r>
      <w:r w:rsidR="00BF3C70" w:rsidRPr="00A75F2B">
        <w:rPr>
          <w:szCs w:val="24"/>
        </w:rPr>
        <w:t xml:space="preserve"> Таким образом, целесообразно ос</w:t>
      </w:r>
      <w:r w:rsidR="00DF4DF3" w:rsidRPr="00A75F2B">
        <w:rPr>
          <w:szCs w:val="24"/>
        </w:rPr>
        <w:t>вобождать от налога только тот инвестиционный</w:t>
      </w:r>
      <w:r w:rsidR="00BF3C70" w:rsidRPr="00A75F2B">
        <w:rPr>
          <w:szCs w:val="24"/>
        </w:rPr>
        <w:t xml:space="preserve"> </w:t>
      </w:r>
      <w:r w:rsidR="00DF4DF3" w:rsidRPr="00A75F2B">
        <w:rPr>
          <w:szCs w:val="24"/>
        </w:rPr>
        <w:t>доход, который</w:t>
      </w:r>
      <w:r w:rsidR="00BF3C70" w:rsidRPr="00A75F2B">
        <w:rPr>
          <w:szCs w:val="24"/>
        </w:rPr>
        <w:t xml:space="preserve"> бизнес-ангелы реинвестируют в новые высокотехнологичные компании.</w:t>
      </w:r>
    </w:p>
    <w:p w:rsidR="009F189A" w:rsidRPr="00A75F2B" w:rsidRDefault="009F189A" w:rsidP="002977C3">
      <w:pPr>
        <w:spacing w:before="0" w:after="60" w:line="360" w:lineRule="auto"/>
        <w:ind w:firstLine="720"/>
        <w:rPr>
          <w:szCs w:val="24"/>
        </w:rPr>
      </w:pPr>
      <w:r w:rsidRPr="00A75F2B">
        <w:rPr>
          <w:szCs w:val="24"/>
        </w:rPr>
        <w:t xml:space="preserve">Для минимизации возможных злоупотреблений предлагаемыми мерами законопроект предусматривает следующие ограничения: </w:t>
      </w:r>
    </w:p>
    <w:p w:rsidR="009F189A" w:rsidRPr="00A75F2B" w:rsidRDefault="009F189A" w:rsidP="002977C3">
      <w:pPr>
        <w:pStyle w:val="ListParagraph"/>
        <w:numPr>
          <w:ilvl w:val="0"/>
          <w:numId w:val="1"/>
        </w:numPr>
        <w:spacing w:before="0" w:after="60" w:line="360" w:lineRule="auto"/>
        <w:rPr>
          <w:szCs w:val="24"/>
        </w:rPr>
      </w:pPr>
      <w:r w:rsidRPr="00A75F2B">
        <w:rPr>
          <w:szCs w:val="24"/>
        </w:rPr>
        <w:t>Предлагаемый вычет смогут получить инвесторы, вложившие собственные средства в компании</w:t>
      </w:r>
      <w:r w:rsidR="00AA1D39" w:rsidRPr="00A75F2B">
        <w:rPr>
          <w:szCs w:val="24"/>
        </w:rPr>
        <w:t>,</w:t>
      </w:r>
      <w:r w:rsidRPr="00A75F2B">
        <w:rPr>
          <w:szCs w:val="24"/>
        </w:rPr>
        <w:t xml:space="preserve"> отвечающие следующим критериям: </w:t>
      </w:r>
    </w:p>
    <w:p w:rsidR="009F189A" w:rsidRPr="00A75F2B" w:rsidRDefault="009F189A" w:rsidP="002977C3">
      <w:pPr>
        <w:pStyle w:val="ListParagraph"/>
        <w:numPr>
          <w:ilvl w:val="1"/>
          <w:numId w:val="1"/>
        </w:numPr>
        <w:spacing w:before="0" w:after="60" w:line="360" w:lineRule="auto"/>
        <w:rPr>
          <w:szCs w:val="24"/>
        </w:rPr>
      </w:pPr>
      <w:r w:rsidRPr="00A75F2B">
        <w:rPr>
          <w:szCs w:val="24"/>
        </w:rPr>
        <w:t>компания прошла техническую экспертизу как минимум одного из институтов развития</w:t>
      </w:r>
      <w:r w:rsidR="00DF4DF3" w:rsidRPr="00A75F2B">
        <w:rPr>
          <w:szCs w:val="24"/>
        </w:rPr>
        <w:t xml:space="preserve"> России</w:t>
      </w:r>
      <w:r w:rsidRPr="00A75F2B">
        <w:rPr>
          <w:szCs w:val="24"/>
        </w:rPr>
        <w:t xml:space="preserve">; </w:t>
      </w:r>
    </w:p>
    <w:p w:rsidR="009F189A" w:rsidRPr="00A75F2B" w:rsidRDefault="009F189A" w:rsidP="002977C3">
      <w:pPr>
        <w:pStyle w:val="ListParagraph"/>
        <w:numPr>
          <w:ilvl w:val="1"/>
          <w:numId w:val="1"/>
        </w:numPr>
        <w:spacing w:before="0" w:after="60" w:line="360" w:lineRule="auto"/>
        <w:rPr>
          <w:szCs w:val="24"/>
        </w:rPr>
      </w:pPr>
      <w:r w:rsidRPr="00A75F2B">
        <w:rPr>
          <w:szCs w:val="24"/>
        </w:rPr>
        <w:t xml:space="preserve">среднесписочная численность сотрудников компании за год не превышает 25 человек; </w:t>
      </w:r>
    </w:p>
    <w:p w:rsidR="009F189A" w:rsidRPr="00A75F2B" w:rsidRDefault="009F189A" w:rsidP="002977C3">
      <w:pPr>
        <w:pStyle w:val="ListParagraph"/>
        <w:numPr>
          <w:ilvl w:val="1"/>
          <w:numId w:val="1"/>
        </w:numPr>
        <w:spacing w:before="0" w:after="60" w:line="360" w:lineRule="auto"/>
        <w:rPr>
          <w:szCs w:val="24"/>
        </w:rPr>
      </w:pPr>
      <w:r w:rsidRPr="00A75F2B">
        <w:rPr>
          <w:szCs w:val="24"/>
        </w:rPr>
        <w:t xml:space="preserve">выручка компании за год не превышает </w:t>
      </w:r>
      <w:r w:rsidR="00D53570" w:rsidRPr="00A75F2B">
        <w:rPr>
          <w:szCs w:val="24"/>
        </w:rPr>
        <w:t>10 млн рублей.</w:t>
      </w:r>
    </w:p>
    <w:p w:rsidR="00D53570" w:rsidRPr="00A75F2B" w:rsidRDefault="00D53570" w:rsidP="002977C3">
      <w:pPr>
        <w:pStyle w:val="ListParagraph"/>
        <w:numPr>
          <w:ilvl w:val="0"/>
          <w:numId w:val="1"/>
        </w:numPr>
        <w:spacing w:before="0" w:after="60" w:line="360" w:lineRule="auto"/>
        <w:rPr>
          <w:szCs w:val="24"/>
        </w:rPr>
      </w:pPr>
      <w:r w:rsidRPr="00A75F2B">
        <w:rPr>
          <w:szCs w:val="24"/>
        </w:rPr>
        <w:t xml:space="preserve">Размер предоставленного вычета не может быть более 5 млн рублей в год. </w:t>
      </w:r>
    </w:p>
    <w:p w:rsidR="00D53570" w:rsidRPr="00A75F2B" w:rsidRDefault="00D53570" w:rsidP="002977C3">
      <w:pPr>
        <w:pStyle w:val="ListParagraph"/>
        <w:numPr>
          <w:ilvl w:val="0"/>
          <w:numId w:val="1"/>
        </w:numPr>
        <w:spacing w:before="0" w:after="60" w:line="360" w:lineRule="auto"/>
        <w:rPr>
          <w:szCs w:val="24"/>
        </w:rPr>
      </w:pPr>
      <w:r w:rsidRPr="00A75F2B">
        <w:rPr>
          <w:szCs w:val="24"/>
        </w:rPr>
        <w:t>Для получения вычета инвестор обязан владеть</w:t>
      </w:r>
      <w:r w:rsidR="00BF3C70" w:rsidRPr="00A75F2B">
        <w:rPr>
          <w:szCs w:val="24"/>
        </w:rPr>
        <w:t xml:space="preserve"> не более 50</w:t>
      </w:r>
      <w:r w:rsidR="00E9279D">
        <w:rPr>
          <w:szCs w:val="24"/>
        </w:rPr>
        <w:t xml:space="preserve"> процентами</w:t>
      </w:r>
      <w:r w:rsidRPr="00A75F2B">
        <w:rPr>
          <w:szCs w:val="24"/>
        </w:rPr>
        <w:t xml:space="preserve"> акци</w:t>
      </w:r>
      <w:r w:rsidR="00BF3C70" w:rsidRPr="00A75F2B">
        <w:rPr>
          <w:szCs w:val="24"/>
        </w:rPr>
        <w:t>й</w:t>
      </w:r>
      <w:r w:rsidRPr="00A75F2B">
        <w:rPr>
          <w:szCs w:val="24"/>
        </w:rPr>
        <w:t xml:space="preserve"> компании не менее </w:t>
      </w:r>
      <w:r w:rsidR="00BF3C70" w:rsidRPr="00A75F2B">
        <w:rPr>
          <w:szCs w:val="24"/>
        </w:rPr>
        <w:t xml:space="preserve">чем </w:t>
      </w:r>
      <w:r w:rsidRPr="00A75F2B">
        <w:rPr>
          <w:szCs w:val="24"/>
        </w:rPr>
        <w:t>год.</w:t>
      </w:r>
    </w:p>
    <w:p w:rsidR="00D53570" w:rsidRPr="00A75F2B" w:rsidRDefault="00D53570" w:rsidP="002977C3">
      <w:pPr>
        <w:pStyle w:val="ListParagraph"/>
        <w:numPr>
          <w:ilvl w:val="0"/>
          <w:numId w:val="1"/>
        </w:numPr>
        <w:spacing w:before="0" w:after="60" w:line="360" w:lineRule="auto"/>
        <w:rPr>
          <w:szCs w:val="24"/>
        </w:rPr>
      </w:pPr>
      <w:r w:rsidRPr="00A75F2B">
        <w:rPr>
          <w:szCs w:val="24"/>
        </w:rPr>
        <w:t>Налогообложению не будет подлежать инвестиционный доход</w:t>
      </w:r>
      <w:r w:rsidR="00AA1D39" w:rsidRPr="00A75F2B">
        <w:rPr>
          <w:szCs w:val="24"/>
        </w:rPr>
        <w:t>,</w:t>
      </w:r>
      <w:r w:rsidRPr="00A75F2B">
        <w:rPr>
          <w:szCs w:val="24"/>
        </w:rPr>
        <w:t xml:space="preserve"> полученный налогоплательщиком в результате реализации акций компаний, отвечающих требованиям п. 1, если он был реинвестирован в другую компанию, отвечающую требованиям п. 1, в том же налоговом периоде. </w:t>
      </w:r>
    </w:p>
    <w:p w:rsidR="00BF3C70" w:rsidRPr="00A75F2B" w:rsidRDefault="00BF3C70" w:rsidP="002977C3">
      <w:pPr>
        <w:spacing w:before="0" w:after="60" w:line="360" w:lineRule="auto"/>
        <w:rPr>
          <w:szCs w:val="24"/>
        </w:rPr>
      </w:pPr>
      <w:r w:rsidRPr="00A75F2B">
        <w:rPr>
          <w:szCs w:val="24"/>
        </w:rPr>
        <w:t>Право на применение налоговых льгот будет предоставляться только при условии представления налогоплательщиком в налоговый орган одновременно с налоговой декларацией следующих документов:</w:t>
      </w:r>
    </w:p>
    <w:p w:rsidR="00BF3C70" w:rsidRPr="00A75F2B" w:rsidRDefault="00BF3C70" w:rsidP="00297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60" w:line="360" w:lineRule="auto"/>
        <w:contextualSpacing w:val="0"/>
        <w:rPr>
          <w:szCs w:val="24"/>
        </w:rPr>
      </w:pPr>
      <w:r w:rsidRPr="00A75F2B">
        <w:rPr>
          <w:szCs w:val="24"/>
        </w:rPr>
        <w:t>документов, подтверждающих что компания, в которую были осуществлены инвестиции, прошла технологическую экспертизу одного из институтов развития;</w:t>
      </w:r>
    </w:p>
    <w:p w:rsidR="00B654DF" w:rsidRPr="00A75F2B" w:rsidRDefault="00B654DF" w:rsidP="00297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60" w:line="360" w:lineRule="auto"/>
        <w:contextualSpacing w:val="0"/>
        <w:rPr>
          <w:szCs w:val="24"/>
        </w:rPr>
      </w:pPr>
      <w:r w:rsidRPr="00A75F2B">
        <w:rPr>
          <w:szCs w:val="24"/>
        </w:rPr>
        <w:t>финансовой отчетности компании;</w:t>
      </w:r>
    </w:p>
    <w:p w:rsidR="003C1656" w:rsidRPr="00A75F2B" w:rsidRDefault="003C1656" w:rsidP="00297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60" w:line="360" w:lineRule="auto"/>
        <w:contextualSpacing w:val="0"/>
        <w:rPr>
          <w:szCs w:val="24"/>
        </w:rPr>
      </w:pPr>
      <w:r w:rsidRPr="00A75F2B">
        <w:rPr>
          <w:szCs w:val="24"/>
        </w:rPr>
        <w:t>сведений о среднесписочной численности сотрудников компании за год;</w:t>
      </w:r>
    </w:p>
    <w:p w:rsidR="00BF3C70" w:rsidRPr="00A75F2B" w:rsidRDefault="00BF3C70" w:rsidP="00297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60" w:line="360" w:lineRule="auto"/>
        <w:contextualSpacing w:val="0"/>
        <w:rPr>
          <w:szCs w:val="24"/>
        </w:rPr>
      </w:pPr>
      <w:r w:rsidRPr="00A75F2B">
        <w:rPr>
          <w:szCs w:val="24"/>
        </w:rPr>
        <w:t>копий</w:t>
      </w:r>
      <w:r w:rsidR="00E9279D">
        <w:rPr>
          <w:szCs w:val="24"/>
        </w:rPr>
        <w:t xml:space="preserve"> </w:t>
      </w:r>
      <w:r w:rsidRPr="00A75F2B">
        <w:rPr>
          <w:szCs w:val="24"/>
        </w:rPr>
        <w:t>платежных документов, подтверждающих произведенные расходы;</w:t>
      </w:r>
    </w:p>
    <w:p w:rsidR="00BF3C70" w:rsidRPr="00A75F2B" w:rsidRDefault="00BF3C70" w:rsidP="00297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60" w:line="360" w:lineRule="auto"/>
        <w:contextualSpacing w:val="0"/>
        <w:rPr>
          <w:szCs w:val="24"/>
        </w:rPr>
      </w:pPr>
      <w:r w:rsidRPr="00A75F2B">
        <w:rPr>
          <w:szCs w:val="24"/>
        </w:rPr>
        <w:t xml:space="preserve">заверенные организацией копии решений, на основании которых налогоплательщиком произведены инвестиции. </w:t>
      </w:r>
    </w:p>
    <w:p w:rsidR="00D53570" w:rsidRPr="00A75F2B" w:rsidRDefault="00F86F91" w:rsidP="002977C3">
      <w:pPr>
        <w:spacing w:before="0" w:after="60" w:line="360" w:lineRule="auto"/>
        <w:ind w:firstLine="720"/>
        <w:rPr>
          <w:szCs w:val="24"/>
        </w:rPr>
      </w:pPr>
      <w:r w:rsidRPr="00A75F2B">
        <w:rPr>
          <w:szCs w:val="24"/>
        </w:rPr>
        <w:t xml:space="preserve">Благодаря предлагаемым мерам внутренняя норма доходности </w:t>
      </w:r>
      <w:r w:rsidR="00AA1D39" w:rsidRPr="00A75F2B">
        <w:rPr>
          <w:szCs w:val="24"/>
        </w:rPr>
        <w:t xml:space="preserve">таких </w:t>
      </w:r>
      <w:r w:rsidRPr="00A75F2B">
        <w:rPr>
          <w:szCs w:val="24"/>
        </w:rPr>
        <w:t>инвестиций возрастет до 9</w:t>
      </w:r>
      <w:r w:rsidR="00A75F2B">
        <w:rPr>
          <w:szCs w:val="24"/>
        </w:rPr>
        <w:t xml:space="preserve"> процентов</w:t>
      </w:r>
      <w:r w:rsidR="00CD6F94">
        <w:rPr>
          <w:szCs w:val="24"/>
        </w:rPr>
        <w:t xml:space="preserve"> (сейчас</w:t>
      </w:r>
      <w:r w:rsidR="007A5F3D">
        <w:rPr>
          <w:szCs w:val="24"/>
        </w:rPr>
        <w:t xml:space="preserve"> - 7 процентов)</w:t>
      </w:r>
      <w:r w:rsidRPr="00A75F2B">
        <w:rPr>
          <w:szCs w:val="24"/>
        </w:rPr>
        <w:t xml:space="preserve">. </w:t>
      </w:r>
      <w:r w:rsidR="0065165A" w:rsidRPr="00A75F2B">
        <w:rPr>
          <w:szCs w:val="24"/>
        </w:rPr>
        <w:t>С учетом</w:t>
      </w:r>
      <w:r w:rsidRPr="00A75F2B">
        <w:rPr>
          <w:szCs w:val="24"/>
        </w:rPr>
        <w:t xml:space="preserve"> того, что число потенциальных бизнес-ангелов в десятки раз</w:t>
      </w:r>
      <w:r w:rsidR="00464E35" w:rsidRPr="00A75F2B">
        <w:rPr>
          <w:rStyle w:val="FootnoteReference"/>
          <w:szCs w:val="24"/>
        </w:rPr>
        <w:footnoteReference w:id="7"/>
      </w:r>
      <w:r w:rsidRPr="00A75F2B">
        <w:rPr>
          <w:szCs w:val="24"/>
        </w:rPr>
        <w:t xml:space="preserve"> превосходит действующее число инвесторов,</w:t>
      </w:r>
      <w:r w:rsidR="00AA1D39" w:rsidRPr="00A75F2B">
        <w:rPr>
          <w:szCs w:val="24"/>
        </w:rPr>
        <w:t xml:space="preserve"> предполагается, что</w:t>
      </w:r>
      <w:r w:rsidRPr="00A75F2B">
        <w:rPr>
          <w:szCs w:val="24"/>
        </w:rPr>
        <w:t xml:space="preserve"> принятие настоящего законопроекта </w:t>
      </w:r>
      <w:r w:rsidR="004270D3" w:rsidRPr="00A75F2B">
        <w:rPr>
          <w:szCs w:val="24"/>
        </w:rPr>
        <w:t>позволит увеличить объем бизнес-</w:t>
      </w:r>
      <w:r w:rsidRPr="00A75F2B">
        <w:rPr>
          <w:szCs w:val="24"/>
        </w:rPr>
        <w:t xml:space="preserve">ангельских инвестиций </w:t>
      </w:r>
      <w:r w:rsidR="00D53570" w:rsidRPr="00A75F2B">
        <w:rPr>
          <w:szCs w:val="24"/>
        </w:rPr>
        <w:t xml:space="preserve">более чем в </w:t>
      </w:r>
      <w:r w:rsidR="007A5F3D">
        <w:rPr>
          <w:szCs w:val="24"/>
        </w:rPr>
        <w:t xml:space="preserve">3,5 </w:t>
      </w:r>
      <w:r w:rsidR="00D53570" w:rsidRPr="00A75F2B">
        <w:rPr>
          <w:szCs w:val="24"/>
        </w:rPr>
        <w:t>раз за 5 лет</w:t>
      </w:r>
      <w:r w:rsidRPr="00A75F2B">
        <w:rPr>
          <w:szCs w:val="24"/>
        </w:rPr>
        <w:t xml:space="preserve">. </w:t>
      </w:r>
    </w:p>
    <w:p w:rsidR="00BA1E48" w:rsidRPr="00A75F2B" w:rsidRDefault="00221DDB" w:rsidP="00A75F2B">
      <w:pPr>
        <w:pStyle w:val="FootnoteText"/>
        <w:spacing w:after="60" w:line="360" w:lineRule="auto"/>
        <w:ind w:firstLine="709"/>
        <w:rPr>
          <w:sz w:val="22"/>
        </w:rPr>
      </w:pPr>
      <w:r w:rsidRPr="00A75F2B">
        <w:rPr>
          <w:sz w:val="28"/>
          <w:szCs w:val="24"/>
        </w:rPr>
        <w:t xml:space="preserve">Предлагаемые меры позволят </w:t>
      </w:r>
      <w:r w:rsidR="00AA1D39" w:rsidRPr="00A75F2B">
        <w:rPr>
          <w:sz w:val="28"/>
          <w:szCs w:val="24"/>
        </w:rPr>
        <w:t>существенно</w:t>
      </w:r>
      <w:r w:rsidRPr="00A75F2B">
        <w:rPr>
          <w:sz w:val="28"/>
          <w:szCs w:val="24"/>
        </w:rPr>
        <w:t xml:space="preserve"> изменить подход к финансированию инновационных компаний на самых ранних этапах их развития и будут способствовать росту частных инвестиций. Финансовые вложения в совокупности с предпринимательским и управленческим опытом бизнес-ангелов приведут к интенсивному росту </w:t>
      </w:r>
      <w:r w:rsidR="00AA1D39" w:rsidRPr="00A75F2B">
        <w:rPr>
          <w:sz w:val="28"/>
          <w:szCs w:val="24"/>
        </w:rPr>
        <w:t xml:space="preserve">объема </w:t>
      </w:r>
      <w:r w:rsidRPr="00A75F2B">
        <w:rPr>
          <w:sz w:val="28"/>
          <w:szCs w:val="24"/>
        </w:rPr>
        <w:t>отечественной инновационной продукции и технологий что является необходимым условия для создания цифровой экономики</w:t>
      </w:r>
      <w:r w:rsidR="00212CAB" w:rsidRPr="00A75F2B">
        <w:rPr>
          <w:sz w:val="28"/>
          <w:szCs w:val="24"/>
        </w:rPr>
        <w:t xml:space="preserve"> </w:t>
      </w:r>
      <w:r w:rsidRPr="00A75F2B">
        <w:rPr>
          <w:sz w:val="28"/>
          <w:szCs w:val="24"/>
        </w:rPr>
        <w:t>в России. Кроме того, привлеченные за 5 лет инвестиции позволят создать дополнительно</w:t>
      </w:r>
      <w:r w:rsidR="00AA1D39" w:rsidRPr="00A75F2B">
        <w:rPr>
          <w:sz w:val="28"/>
          <w:szCs w:val="24"/>
        </w:rPr>
        <w:t xml:space="preserve"> не менее</w:t>
      </w:r>
      <w:r w:rsidRPr="00A75F2B">
        <w:rPr>
          <w:sz w:val="28"/>
          <w:szCs w:val="24"/>
        </w:rPr>
        <w:t xml:space="preserve"> </w:t>
      </w:r>
      <w:r w:rsidR="007A5F3D">
        <w:rPr>
          <w:sz w:val="28"/>
          <w:szCs w:val="24"/>
        </w:rPr>
        <w:t>9</w:t>
      </w:r>
      <w:r w:rsidR="00F6701F" w:rsidRPr="00A75F2B">
        <w:rPr>
          <w:sz w:val="28"/>
          <w:szCs w:val="24"/>
        </w:rPr>
        <w:t xml:space="preserve"> </w:t>
      </w:r>
      <w:r w:rsidRPr="00A75F2B">
        <w:rPr>
          <w:sz w:val="28"/>
          <w:szCs w:val="24"/>
        </w:rPr>
        <w:t xml:space="preserve">тысяч рабочих мест, что </w:t>
      </w:r>
      <w:r w:rsidR="00AA1D39" w:rsidRPr="00A75F2B">
        <w:rPr>
          <w:sz w:val="28"/>
          <w:szCs w:val="24"/>
        </w:rPr>
        <w:t xml:space="preserve">позволит </w:t>
      </w:r>
      <w:r w:rsidRPr="00A75F2B">
        <w:rPr>
          <w:sz w:val="28"/>
          <w:szCs w:val="24"/>
        </w:rPr>
        <w:t>снизит</w:t>
      </w:r>
      <w:r w:rsidR="00AA1D39" w:rsidRPr="00A75F2B">
        <w:rPr>
          <w:sz w:val="28"/>
          <w:szCs w:val="24"/>
        </w:rPr>
        <w:t>ь</w:t>
      </w:r>
      <w:r w:rsidRPr="00A75F2B">
        <w:rPr>
          <w:sz w:val="28"/>
          <w:szCs w:val="24"/>
        </w:rPr>
        <w:t xml:space="preserve"> отток высококвалифицированных специалистов за границу. Одновременно в бюджет Российской Федерации</w:t>
      </w:r>
      <w:r w:rsidR="00212CAB" w:rsidRPr="00A75F2B">
        <w:rPr>
          <w:sz w:val="28"/>
          <w:szCs w:val="24"/>
        </w:rPr>
        <w:t xml:space="preserve"> за этот период</w:t>
      </w:r>
      <w:r w:rsidRPr="00A75F2B">
        <w:rPr>
          <w:sz w:val="28"/>
          <w:szCs w:val="24"/>
        </w:rPr>
        <w:t xml:space="preserve"> поступит более </w:t>
      </w:r>
      <w:r w:rsidR="007A5F3D">
        <w:rPr>
          <w:sz w:val="28"/>
          <w:szCs w:val="24"/>
        </w:rPr>
        <w:t>8</w:t>
      </w:r>
      <w:r w:rsidRPr="00A75F2B">
        <w:rPr>
          <w:sz w:val="28"/>
          <w:szCs w:val="24"/>
        </w:rPr>
        <w:t xml:space="preserve"> млрд рублей</w:t>
      </w:r>
      <w:r w:rsidR="00A75F2B" w:rsidRPr="00A75F2B">
        <w:rPr>
          <w:sz w:val="28"/>
          <w:szCs w:val="24"/>
        </w:rPr>
        <w:t>,</w:t>
      </w:r>
      <w:r w:rsidR="00B94929" w:rsidRPr="00A75F2B">
        <w:rPr>
          <w:sz w:val="28"/>
          <w:szCs w:val="24"/>
        </w:rPr>
        <w:t xml:space="preserve"> </w:t>
      </w:r>
      <w:r w:rsidR="00D6245C" w:rsidRPr="00A75F2B">
        <w:rPr>
          <w:sz w:val="28"/>
          <w:szCs w:val="24"/>
        </w:rPr>
        <w:t xml:space="preserve">в том числе </w:t>
      </w:r>
      <w:r w:rsidR="00B94929" w:rsidRPr="00A75F2B">
        <w:rPr>
          <w:sz w:val="28"/>
          <w:szCs w:val="24"/>
        </w:rPr>
        <w:t>за счет поступлений по НДФЛ от созданных рабочих мест</w:t>
      </w:r>
      <w:r w:rsidRPr="00A75F2B">
        <w:rPr>
          <w:sz w:val="28"/>
          <w:szCs w:val="24"/>
        </w:rPr>
        <w:t xml:space="preserve">. </w:t>
      </w:r>
      <w:r w:rsidR="00BA1E48" w:rsidRPr="00A75F2B">
        <w:rPr>
          <w:sz w:val="22"/>
        </w:rPr>
        <w:br w:type="page"/>
      </w:r>
    </w:p>
    <w:p w:rsidR="00BA1E48" w:rsidRPr="00A75F2B" w:rsidRDefault="00BA1E48" w:rsidP="00BA1E48">
      <w:pPr>
        <w:spacing w:line="240" w:lineRule="atLeast"/>
        <w:jc w:val="center"/>
        <w:rPr>
          <w:b/>
          <w:szCs w:val="28"/>
        </w:rPr>
      </w:pPr>
      <w:r w:rsidRPr="00A75F2B">
        <w:rPr>
          <w:b/>
          <w:szCs w:val="28"/>
        </w:rPr>
        <w:t>ФИНАНСОВО-ЭКОНОМИЧЕСКОЕ ОБОСНОВАНИЕ</w:t>
      </w:r>
    </w:p>
    <w:p w:rsidR="00BA1E48" w:rsidRPr="00A75F2B" w:rsidRDefault="00BA1E48" w:rsidP="00BA1E48">
      <w:pPr>
        <w:spacing w:line="120" w:lineRule="exact"/>
        <w:jc w:val="center"/>
        <w:rPr>
          <w:b/>
          <w:szCs w:val="28"/>
        </w:rPr>
      </w:pPr>
    </w:p>
    <w:p w:rsidR="00BA1E48" w:rsidRPr="00A75F2B" w:rsidRDefault="00BA1E48" w:rsidP="00BA1E48">
      <w:pPr>
        <w:spacing w:line="240" w:lineRule="atLeast"/>
        <w:jc w:val="center"/>
        <w:rPr>
          <w:b/>
          <w:szCs w:val="28"/>
        </w:rPr>
      </w:pPr>
      <w:r w:rsidRPr="00A75F2B">
        <w:rPr>
          <w:b/>
          <w:szCs w:val="28"/>
        </w:rPr>
        <w:t xml:space="preserve">к проекту федерального закона </w:t>
      </w:r>
      <w:r w:rsidR="00E9279D">
        <w:rPr>
          <w:b/>
          <w:szCs w:val="28"/>
        </w:rPr>
        <w:t>«</w:t>
      </w:r>
      <w:r w:rsidRPr="00A75F2B">
        <w:rPr>
          <w:b/>
          <w:szCs w:val="28"/>
        </w:rPr>
        <w:t>О внесении измен</w:t>
      </w:r>
      <w:r w:rsidR="00212CAB" w:rsidRPr="00A75F2B">
        <w:rPr>
          <w:b/>
          <w:szCs w:val="28"/>
        </w:rPr>
        <w:t>ений в часть вторую Налогового к</w:t>
      </w:r>
      <w:r w:rsidRPr="00A75F2B">
        <w:rPr>
          <w:b/>
          <w:szCs w:val="28"/>
        </w:rPr>
        <w:t xml:space="preserve">одекса Российской Федерации в части введения специального налогового вычета по </w:t>
      </w:r>
      <w:r w:rsidR="00E9279D">
        <w:rPr>
          <w:b/>
          <w:szCs w:val="28"/>
        </w:rPr>
        <w:t>налогу на доходы физических лиц (</w:t>
      </w:r>
      <w:r w:rsidRPr="00A75F2B">
        <w:rPr>
          <w:b/>
          <w:szCs w:val="28"/>
        </w:rPr>
        <w:t>НДФЛ</w:t>
      </w:r>
      <w:r w:rsidR="00E9279D">
        <w:rPr>
          <w:b/>
          <w:szCs w:val="28"/>
        </w:rPr>
        <w:t>)</w:t>
      </w:r>
      <w:r w:rsidRPr="00A75F2B">
        <w:rPr>
          <w:b/>
          <w:szCs w:val="28"/>
        </w:rPr>
        <w:t xml:space="preserve"> для инвесторов-физических лиц и введения льготной ставки по НДФЛ от инвестиционного дохода физических лиц</w:t>
      </w:r>
      <w:r w:rsidR="00E9279D">
        <w:rPr>
          <w:b/>
          <w:szCs w:val="28"/>
        </w:rPr>
        <w:t>»</w:t>
      </w:r>
    </w:p>
    <w:p w:rsidR="00BA1E48" w:rsidRPr="00A75F2B" w:rsidRDefault="00BA1E48" w:rsidP="00BA1E48">
      <w:pPr>
        <w:spacing w:line="240" w:lineRule="atLeast"/>
        <w:rPr>
          <w:b/>
          <w:szCs w:val="28"/>
        </w:rPr>
      </w:pPr>
    </w:p>
    <w:p w:rsidR="001D1582" w:rsidRPr="00A75F2B" w:rsidRDefault="001D1582" w:rsidP="001D1582">
      <w:pPr>
        <w:spacing w:line="360" w:lineRule="auto"/>
        <w:rPr>
          <w:szCs w:val="24"/>
        </w:rPr>
      </w:pPr>
      <w:r w:rsidRPr="00A75F2B">
        <w:rPr>
          <w:szCs w:val="24"/>
        </w:rPr>
        <w:t xml:space="preserve">Принятие федерального закона «О внесении изменений в часть вторую Налогового кодекса Российской Федерации в части введения специального налогового вычета по НДФЛ для инвесторов-физических лиц и введения льготной ставки по НДФЛ от инвестиционного дохода физических лиц» повлечет незначительные выпадающие доходы бюджетов Российской Федерации, которые </w:t>
      </w:r>
      <w:r w:rsidR="009F3855" w:rsidRPr="00A75F2B">
        <w:rPr>
          <w:szCs w:val="24"/>
        </w:rPr>
        <w:t xml:space="preserve">в краткосрочном периоде </w:t>
      </w:r>
      <w:r w:rsidRPr="00A75F2B">
        <w:rPr>
          <w:szCs w:val="24"/>
        </w:rPr>
        <w:t>будут компенсированы дополнительными налоговыми поступлениями за счет развития высокотехнологичных компаний.</w:t>
      </w:r>
    </w:p>
    <w:p w:rsidR="00BA1E48" w:rsidRPr="00A75F2B" w:rsidRDefault="001D1582" w:rsidP="002977C3">
      <w:pPr>
        <w:spacing w:line="360" w:lineRule="auto"/>
        <w:rPr>
          <w:szCs w:val="24"/>
        </w:rPr>
      </w:pPr>
      <w:r w:rsidRPr="00A75F2B">
        <w:rPr>
          <w:szCs w:val="24"/>
        </w:rPr>
        <w:t xml:space="preserve">Государственная поддержка частных инвестиций в высокотехнологические проекты может существенно повысить инвестиционную привлекательность таких инвестиций в инновационные проекты на ранних стадиях. </w:t>
      </w:r>
      <w:r w:rsidR="00BA1E48" w:rsidRPr="00A75F2B">
        <w:rPr>
          <w:szCs w:val="24"/>
        </w:rPr>
        <w:t xml:space="preserve">В международной практике распространены следующие основные механизмы стимулирования частных инвестиций: </w:t>
      </w:r>
    </w:p>
    <w:p w:rsidR="00BA1E48" w:rsidRPr="00A75F2B" w:rsidRDefault="00BA1E48" w:rsidP="00656BC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0" w:line="360" w:lineRule="auto"/>
        <w:ind w:left="1134" w:hanging="283"/>
        <w:rPr>
          <w:szCs w:val="24"/>
        </w:rPr>
      </w:pPr>
      <w:r w:rsidRPr="00A75F2B">
        <w:rPr>
          <w:szCs w:val="24"/>
        </w:rPr>
        <w:t>налоговые вычет</w:t>
      </w:r>
      <w:r w:rsidR="001D1582" w:rsidRPr="00A75F2B">
        <w:rPr>
          <w:szCs w:val="24"/>
        </w:rPr>
        <w:t>ы в размере части инвестиций из сумм подоходного налога или налоговой базы</w:t>
      </w:r>
      <w:r w:rsidRPr="00A75F2B">
        <w:rPr>
          <w:szCs w:val="24"/>
        </w:rPr>
        <w:t xml:space="preserve">; </w:t>
      </w:r>
    </w:p>
    <w:p w:rsidR="00BA1E48" w:rsidRPr="00A75F2B" w:rsidRDefault="00BA1E48" w:rsidP="00656BC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0" w:line="360" w:lineRule="auto"/>
        <w:ind w:left="1134" w:hanging="283"/>
        <w:rPr>
          <w:szCs w:val="24"/>
        </w:rPr>
      </w:pPr>
      <w:r w:rsidRPr="00A75F2B">
        <w:rPr>
          <w:szCs w:val="24"/>
        </w:rPr>
        <w:t xml:space="preserve">единовременные выплаты </w:t>
      </w:r>
      <w:r w:rsidR="001D1582" w:rsidRPr="00A75F2B">
        <w:rPr>
          <w:szCs w:val="24"/>
        </w:rPr>
        <w:t>(возврат) части инвестированных средств</w:t>
      </w:r>
      <w:r w:rsidRPr="00A75F2B">
        <w:rPr>
          <w:szCs w:val="24"/>
        </w:rPr>
        <w:t>;</w:t>
      </w:r>
    </w:p>
    <w:p w:rsidR="00BA1E48" w:rsidRPr="00A75F2B" w:rsidRDefault="00BA1E48" w:rsidP="00656BC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0" w:line="360" w:lineRule="auto"/>
        <w:ind w:left="1134" w:hanging="283"/>
        <w:rPr>
          <w:szCs w:val="24"/>
        </w:rPr>
      </w:pPr>
      <w:r w:rsidRPr="00A75F2B">
        <w:rPr>
          <w:szCs w:val="24"/>
        </w:rPr>
        <w:t xml:space="preserve"> льготы </w:t>
      </w:r>
      <w:r w:rsidR="001D1582" w:rsidRPr="00A75F2B">
        <w:rPr>
          <w:szCs w:val="24"/>
        </w:rPr>
        <w:t xml:space="preserve">по подоходному налогу </w:t>
      </w:r>
      <w:r w:rsidRPr="00A75F2B">
        <w:rPr>
          <w:szCs w:val="24"/>
        </w:rPr>
        <w:t>в отношении инвестиционного дохода</w:t>
      </w:r>
      <w:r w:rsidR="001D1582" w:rsidRPr="00A75F2B">
        <w:rPr>
          <w:szCs w:val="24"/>
        </w:rPr>
        <w:t>.</w:t>
      </w:r>
      <w:r w:rsidRPr="00A75F2B">
        <w:rPr>
          <w:szCs w:val="24"/>
        </w:rPr>
        <w:t xml:space="preserve"> </w:t>
      </w:r>
    </w:p>
    <w:p w:rsidR="00BA1E48" w:rsidRPr="00A75F2B" w:rsidRDefault="00BA1E48" w:rsidP="00BA1E48">
      <w:pPr>
        <w:spacing w:line="360" w:lineRule="auto"/>
        <w:ind w:firstLine="708"/>
        <w:rPr>
          <w:szCs w:val="24"/>
        </w:rPr>
      </w:pPr>
      <w:r w:rsidRPr="00A75F2B">
        <w:rPr>
          <w:szCs w:val="24"/>
        </w:rPr>
        <w:t xml:space="preserve">Для оценки степени влияния </w:t>
      </w:r>
      <w:r w:rsidR="001D1582" w:rsidRPr="00A75F2B">
        <w:rPr>
          <w:szCs w:val="24"/>
        </w:rPr>
        <w:t>данных</w:t>
      </w:r>
      <w:r w:rsidRPr="00A75F2B">
        <w:rPr>
          <w:szCs w:val="24"/>
        </w:rPr>
        <w:t xml:space="preserve"> мер поддержки «бизнес-ангелов» на внутреннюю норму доходности таких инвестиций</w:t>
      </w:r>
      <w:r w:rsidR="001D1582" w:rsidRPr="00A75F2B">
        <w:rPr>
          <w:szCs w:val="24"/>
        </w:rPr>
        <w:t xml:space="preserve"> </w:t>
      </w:r>
      <w:r w:rsidRPr="00A75F2B">
        <w:rPr>
          <w:szCs w:val="24"/>
        </w:rPr>
        <w:t>были построены финансовые модели инвестиционных проектов с заданными параметрами, осуществляемых в условиях шести сценариев применения инвестором мер поддержки</w:t>
      </w:r>
      <w:r w:rsidR="001D1582" w:rsidRPr="00A75F2B">
        <w:rPr>
          <w:szCs w:val="24"/>
        </w:rPr>
        <w:t xml:space="preserve"> </w:t>
      </w:r>
      <w:r w:rsidRPr="00A75F2B">
        <w:rPr>
          <w:szCs w:val="24"/>
        </w:rPr>
        <w:t>(Таблица 1).</w:t>
      </w:r>
      <w:r w:rsidR="001D1582" w:rsidRPr="00A75F2B">
        <w:rPr>
          <w:szCs w:val="24"/>
        </w:rPr>
        <w:t xml:space="preserve"> </w:t>
      </w:r>
      <w:r w:rsidRPr="00A75F2B">
        <w:rPr>
          <w:szCs w:val="24"/>
        </w:rPr>
        <w:t xml:space="preserve">Расчет параметров осуществлялся на основе </w:t>
      </w:r>
      <w:r w:rsidR="00AA0173" w:rsidRPr="00A75F2B">
        <w:rPr>
          <w:szCs w:val="24"/>
        </w:rPr>
        <w:t xml:space="preserve">сведений о средних объемах инвестиций бизнес-ангелов, предоставленных </w:t>
      </w:r>
      <w:r w:rsidR="001D1582" w:rsidRPr="00A75F2B">
        <w:rPr>
          <w:szCs w:val="24"/>
        </w:rPr>
        <w:t>Фондом «</w:t>
      </w:r>
      <w:proofErr w:type="spellStart"/>
      <w:r w:rsidR="00AA0173" w:rsidRPr="00A75F2B">
        <w:rPr>
          <w:szCs w:val="24"/>
        </w:rPr>
        <w:t>С</w:t>
      </w:r>
      <w:r w:rsidR="00B94929" w:rsidRPr="00A75F2B">
        <w:rPr>
          <w:szCs w:val="24"/>
        </w:rPr>
        <w:t>колково</w:t>
      </w:r>
      <w:proofErr w:type="spellEnd"/>
      <w:r w:rsidR="001D1582" w:rsidRPr="00A75F2B">
        <w:rPr>
          <w:szCs w:val="24"/>
        </w:rPr>
        <w:t>»</w:t>
      </w:r>
      <w:r w:rsidR="00B94929" w:rsidRPr="00A75F2B">
        <w:rPr>
          <w:szCs w:val="24"/>
        </w:rPr>
        <w:t>, а также</w:t>
      </w:r>
      <w:r w:rsidR="001D1582" w:rsidRPr="00A75F2B">
        <w:rPr>
          <w:szCs w:val="24"/>
        </w:rPr>
        <w:t xml:space="preserve"> на</w:t>
      </w:r>
      <w:r w:rsidR="00B94929" w:rsidRPr="00A75F2B">
        <w:rPr>
          <w:szCs w:val="24"/>
        </w:rPr>
        <w:t xml:space="preserve"> </w:t>
      </w:r>
      <w:r w:rsidR="001D1582" w:rsidRPr="00A75F2B">
        <w:rPr>
          <w:szCs w:val="24"/>
        </w:rPr>
        <w:t xml:space="preserve">основе данных </w:t>
      </w:r>
      <w:r w:rsidR="00B94929" w:rsidRPr="00A75F2B">
        <w:rPr>
          <w:szCs w:val="24"/>
        </w:rPr>
        <w:t xml:space="preserve">о </w:t>
      </w:r>
      <w:r w:rsidR="00CD6F94">
        <w:rPr>
          <w:szCs w:val="24"/>
        </w:rPr>
        <w:t>доходности средней сделки</w:t>
      </w:r>
      <w:r w:rsidR="0077291B">
        <w:rPr>
          <w:szCs w:val="24"/>
        </w:rPr>
        <w:t xml:space="preserve"> </w:t>
      </w:r>
      <w:r w:rsidR="00CD6F94">
        <w:rPr>
          <w:szCs w:val="24"/>
        </w:rPr>
        <w:t xml:space="preserve">частного инвестора в высокотехнологичные компании на ранних этапах развития </w:t>
      </w:r>
      <w:r w:rsidR="0077291B">
        <w:rPr>
          <w:szCs w:val="24"/>
        </w:rPr>
        <w:t>на уровне  </w:t>
      </w:r>
      <w:r w:rsidR="00CD6F94">
        <w:rPr>
          <w:szCs w:val="24"/>
        </w:rPr>
        <w:t xml:space="preserve">минус </w:t>
      </w:r>
      <w:r w:rsidR="0077291B" w:rsidRPr="00171138">
        <w:rPr>
          <w:szCs w:val="24"/>
        </w:rPr>
        <w:t>1</w:t>
      </w:r>
      <w:r w:rsidR="0077291B">
        <w:rPr>
          <w:szCs w:val="24"/>
        </w:rPr>
        <w:t>2</w:t>
      </w:r>
      <w:r w:rsidR="0077291B" w:rsidRPr="00171138">
        <w:rPr>
          <w:szCs w:val="24"/>
        </w:rPr>
        <w:t xml:space="preserve"> </w:t>
      </w:r>
      <w:r w:rsidR="0077291B">
        <w:rPr>
          <w:szCs w:val="24"/>
        </w:rPr>
        <w:t xml:space="preserve">процентов. </w:t>
      </w:r>
    </w:p>
    <w:p w:rsidR="001D1582" w:rsidRPr="00A75F2B" w:rsidRDefault="001D1582" w:rsidP="00BA1E48">
      <w:pPr>
        <w:spacing w:line="360" w:lineRule="auto"/>
        <w:ind w:firstLine="708"/>
        <w:rPr>
          <w:szCs w:val="24"/>
        </w:rPr>
      </w:pPr>
    </w:p>
    <w:p w:rsidR="00BA1E48" w:rsidRPr="00A75F2B" w:rsidRDefault="00BA1E48" w:rsidP="00BA1E48">
      <w:pPr>
        <w:pStyle w:val="Caption"/>
        <w:keepNext/>
        <w:rPr>
          <w:b w:val="0"/>
          <w:color w:val="auto"/>
          <w:sz w:val="28"/>
          <w:szCs w:val="24"/>
        </w:rPr>
      </w:pPr>
      <w:r w:rsidRPr="00A75F2B">
        <w:rPr>
          <w:b w:val="0"/>
          <w:color w:val="auto"/>
          <w:sz w:val="28"/>
          <w:szCs w:val="24"/>
        </w:rPr>
        <w:t xml:space="preserve">Таблица </w:t>
      </w:r>
      <w:r w:rsidRPr="00A75F2B">
        <w:rPr>
          <w:b w:val="0"/>
          <w:color w:val="auto"/>
          <w:sz w:val="28"/>
          <w:szCs w:val="24"/>
        </w:rPr>
        <w:fldChar w:fldCharType="begin"/>
      </w:r>
      <w:r w:rsidRPr="00A75F2B">
        <w:rPr>
          <w:b w:val="0"/>
          <w:color w:val="auto"/>
          <w:sz w:val="28"/>
          <w:szCs w:val="24"/>
        </w:rPr>
        <w:instrText xml:space="preserve"> SEQ Таблица \* ARABIC </w:instrText>
      </w:r>
      <w:r w:rsidRPr="00A75F2B">
        <w:rPr>
          <w:b w:val="0"/>
          <w:color w:val="auto"/>
          <w:sz w:val="28"/>
          <w:szCs w:val="24"/>
        </w:rPr>
        <w:fldChar w:fldCharType="separate"/>
      </w:r>
      <w:r w:rsidR="003257FF" w:rsidRPr="00A75F2B">
        <w:rPr>
          <w:b w:val="0"/>
          <w:noProof/>
          <w:color w:val="auto"/>
          <w:sz w:val="28"/>
          <w:szCs w:val="24"/>
        </w:rPr>
        <w:t>1</w:t>
      </w:r>
      <w:r w:rsidRPr="00A75F2B">
        <w:rPr>
          <w:b w:val="0"/>
          <w:color w:val="auto"/>
          <w:sz w:val="28"/>
          <w:szCs w:val="24"/>
        </w:rPr>
        <w:fldChar w:fldCharType="end"/>
      </w:r>
      <w:r w:rsidRPr="00A75F2B">
        <w:rPr>
          <w:b w:val="0"/>
          <w:color w:val="auto"/>
          <w:sz w:val="28"/>
          <w:szCs w:val="24"/>
        </w:rPr>
        <w:t xml:space="preserve">. Зависимость внутренней нормы доходности инвестиций в высокотехнологичные компании на самых ранних этапах развития от </w:t>
      </w:r>
      <w:r w:rsidR="001D1582" w:rsidRPr="00A75F2B">
        <w:rPr>
          <w:b w:val="0"/>
          <w:color w:val="auto"/>
          <w:sz w:val="28"/>
          <w:szCs w:val="24"/>
        </w:rPr>
        <w:t xml:space="preserve">параметров </w:t>
      </w:r>
      <w:r w:rsidRPr="00A75F2B">
        <w:rPr>
          <w:b w:val="0"/>
          <w:color w:val="auto"/>
          <w:sz w:val="28"/>
          <w:szCs w:val="24"/>
        </w:rPr>
        <w:t>государственной поддержки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287"/>
        <w:gridCol w:w="2764"/>
        <w:gridCol w:w="2765"/>
      </w:tblGrid>
      <w:tr w:rsidR="00BA1E48" w:rsidRPr="00A75F2B" w:rsidTr="00A75F2B">
        <w:tc>
          <w:tcPr>
            <w:tcW w:w="3752" w:type="dxa"/>
            <w:gridSpan w:val="2"/>
            <w:shd w:val="clear" w:color="auto" w:fill="auto"/>
            <w:vAlign w:val="center"/>
          </w:tcPr>
          <w:p w:rsidR="00BA1E48" w:rsidRPr="00A75F2B" w:rsidRDefault="00BA1E48" w:rsidP="001D1582">
            <w:pPr>
              <w:spacing w:line="276" w:lineRule="auto"/>
              <w:jc w:val="left"/>
              <w:rPr>
                <w:rFonts w:eastAsiaTheme="minorHAnsi"/>
                <w:bCs/>
                <w:color w:val="000000"/>
                <w:sz w:val="22"/>
                <w:lang w:eastAsia="en-US"/>
              </w:rPr>
            </w:pPr>
            <w:r w:rsidRPr="00A75F2B">
              <w:rPr>
                <w:bCs/>
                <w:color w:val="000000"/>
                <w:sz w:val="22"/>
              </w:rPr>
              <w:t>Сценарии мер поддержки</w:t>
            </w:r>
          </w:p>
        </w:tc>
        <w:tc>
          <w:tcPr>
            <w:tcW w:w="2768" w:type="dxa"/>
            <w:shd w:val="clear" w:color="auto" w:fill="auto"/>
            <w:hideMark/>
          </w:tcPr>
          <w:p w:rsidR="00BA1E48" w:rsidRPr="00A75F2B" w:rsidRDefault="00BA1E48" w:rsidP="001D1582">
            <w:pPr>
              <w:spacing w:line="276" w:lineRule="auto"/>
              <w:ind w:firstLine="0"/>
              <w:jc w:val="left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75F2B">
              <w:rPr>
                <w:rFonts w:eastAsiaTheme="minorHAnsi"/>
                <w:color w:val="000000"/>
                <w:sz w:val="22"/>
                <w:lang w:eastAsia="en-US"/>
              </w:rPr>
              <w:t xml:space="preserve">Инвестиционный доход освобождается от уплаты НДФЛ после 5 лет владения акциями </w:t>
            </w:r>
            <w:r w:rsidR="00B94929" w:rsidRPr="00A75F2B">
              <w:rPr>
                <w:rFonts w:eastAsiaTheme="minorHAnsi"/>
                <w:color w:val="000000"/>
                <w:sz w:val="22"/>
                <w:lang w:eastAsia="en-US"/>
              </w:rPr>
              <w:t xml:space="preserve">(долями) </w:t>
            </w:r>
            <w:r w:rsidRPr="00A75F2B">
              <w:rPr>
                <w:rFonts w:eastAsiaTheme="minorHAnsi"/>
                <w:color w:val="000000"/>
                <w:sz w:val="22"/>
                <w:lang w:eastAsia="en-US"/>
              </w:rPr>
              <w:t>компании</w:t>
            </w:r>
          </w:p>
        </w:tc>
        <w:tc>
          <w:tcPr>
            <w:tcW w:w="2769" w:type="dxa"/>
            <w:shd w:val="clear" w:color="auto" w:fill="auto"/>
            <w:hideMark/>
          </w:tcPr>
          <w:p w:rsidR="00BA1E48" w:rsidRPr="00A75F2B" w:rsidRDefault="00BA1E48" w:rsidP="001D1582">
            <w:pPr>
              <w:spacing w:line="276" w:lineRule="auto"/>
              <w:ind w:firstLine="0"/>
              <w:jc w:val="left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75F2B">
              <w:rPr>
                <w:rFonts w:eastAsiaTheme="minorHAnsi"/>
                <w:color w:val="000000"/>
                <w:sz w:val="22"/>
                <w:lang w:eastAsia="en-US"/>
              </w:rPr>
              <w:t>Инвестиционный доход освобождается от уплаты НДФЛ после 2 лет владения акциями компании</w:t>
            </w:r>
          </w:p>
        </w:tc>
      </w:tr>
      <w:tr w:rsidR="00BA1E48" w:rsidRPr="00A75F2B" w:rsidTr="00A75F2B">
        <w:tc>
          <w:tcPr>
            <w:tcW w:w="460" w:type="dxa"/>
            <w:shd w:val="clear" w:color="auto" w:fill="auto"/>
            <w:vAlign w:val="center"/>
          </w:tcPr>
          <w:p w:rsidR="00BA1E48" w:rsidRPr="00A75F2B" w:rsidRDefault="00BA1E48" w:rsidP="00A75F2B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A75F2B">
              <w:rPr>
                <w:color w:val="000000"/>
                <w:sz w:val="22"/>
              </w:rPr>
              <w:t>(1)</w:t>
            </w:r>
          </w:p>
        </w:tc>
        <w:tc>
          <w:tcPr>
            <w:tcW w:w="3292" w:type="dxa"/>
            <w:vAlign w:val="center"/>
            <w:hideMark/>
          </w:tcPr>
          <w:p w:rsidR="00BA1E48" w:rsidRPr="00A75F2B" w:rsidRDefault="00BA1E48" w:rsidP="00A75F2B">
            <w:pPr>
              <w:spacing w:line="276" w:lineRule="auto"/>
              <w:ind w:firstLine="0"/>
              <w:jc w:val="left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75F2B">
              <w:rPr>
                <w:color w:val="000000"/>
                <w:sz w:val="22"/>
              </w:rPr>
              <w:t>Отсутствие мер поддержки</w:t>
            </w:r>
          </w:p>
        </w:tc>
        <w:tc>
          <w:tcPr>
            <w:tcW w:w="2768" w:type="dxa"/>
            <w:vAlign w:val="center"/>
            <w:hideMark/>
          </w:tcPr>
          <w:p w:rsidR="00BA1E48" w:rsidRPr="00A75F2B" w:rsidRDefault="00BA1E48" w:rsidP="00A75F2B">
            <w:pPr>
              <w:spacing w:line="276" w:lineRule="auto"/>
              <w:ind w:firstLine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75F2B">
              <w:rPr>
                <w:color w:val="000000"/>
                <w:sz w:val="22"/>
              </w:rPr>
              <w:t>-</w:t>
            </w:r>
            <w:r w:rsidR="0077291B">
              <w:rPr>
                <w:color w:val="000000"/>
                <w:sz w:val="22"/>
              </w:rPr>
              <w:t>7</w:t>
            </w:r>
            <w:r w:rsidRPr="00A75F2B">
              <w:rPr>
                <w:color w:val="000000"/>
                <w:sz w:val="22"/>
              </w:rPr>
              <w:t>,</w:t>
            </w:r>
            <w:r w:rsidR="0077291B">
              <w:rPr>
                <w:color w:val="000000"/>
                <w:sz w:val="22"/>
              </w:rPr>
              <w:t>31</w:t>
            </w:r>
            <w:r w:rsidRPr="00A75F2B">
              <w:rPr>
                <w:color w:val="000000"/>
                <w:sz w:val="22"/>
              </w:rPr>
              <w:t>%</w:t>
            </w:r>
          </w:p>
        </w:tc>
        <w:tc>
          <w:tcPr>
            <w:tcW w:w="2769" w:type="dxa"/>
            <w:vAlign w:val="center"/>
            <w:hideMark/>
          </w:tcPr>
          <w:p w:rsidR="00BA1E48" w:rsidRPr="00A75F2B" w:rsidRDefault="00BA1E48" w:rsidP="00A75F2B">
            <w:pPr>
              <w:spacing w:line="276" w:lineRule="auto"/>
              <w:ind w:firstLine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75F2B">
              <w:rPr>
                <w:color w:val="000000"/>
                <w:sz w:val="22"/>
              </w:rPr>
              <w:t>-</w:t>
            </w:r>
            <w:r w:rsidR="0077291B">
              <w:rPr>
                <w:color w:val="000000"/>
                <w:sz w:val="22"/>
              </w:rPr>
              <w:t>6,89</w:t>
            </w:r>
            <w:r w:rsidRPr="00A75F2B">
              <w:rPr>
                <w:color w:val="000000"/>
                <w:sz w:val="22"/>
              </w:rPr>
              <w:t>%</w:t>
            </w:r>
          </w:p>
        </w:tc>
      </w:tr>
      <w:tr w:rsidR="00BA1E48" w:rsidRPr="00A75F2B" w:rsidTr="00A75F2B">
        <w:tc>
          <w:tcPr>
            <w:tcW w:w="460" w:type="dxa"/>
            <w:shd w:val="clear" w:color="auto" w:fill="auto"/>
            <w:vAlign w:val="center"/>
          </w:tcPr>
          <w:p w:rsidR="00BA1E48" w:rsidRPr="00A75F2B" w:rsidRDefault="00BA1E48" w:rsidP="00A75F2B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A75F2B">
              <w:rPr>
                <w:color w:val="000000"/>
                <w:sz w:val="22"/>
              </w:rPr>
              <w:t>(2)</w:t>
            </w:r>
          </w:p>
        </w:tc>
        <w:tc>
          <w:tcPr>
            <w:tcW w:w="3292" w:type="dxa"/>
            <w:vAlign w:val="center"/>
            <w:hideMark/>
          </w:tcPr>
          <w:p w:rsidR="00BA1E48" w:rsidRPr="00A75F2B" w:rsidRDefault="00BA1E48" w:rsidP="00A75F2B">
            <w:pPr>
              <w:spacing w:line="276" w:lineRule="auto"/>
              <w:ind w:firstLine="0"/>
              <w:jc w:val="left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75F2B">
              <w:rPr>
                <w:color w:val="000000"/>
                <w:sz w:val="22"/>
              </w:rPr>
              <w:t>Вычет 50% инвестиций из суммы НДФЛ с возможностью переноса неиспользованного вычета на будущие периоды</w:t>
            </w:r>
          </w:p>
        </w:tc>
        <w:tc>
          <w:tcPr>
            <w:tcW w:w="2768" w:type="dxa"/>
            <w:vAlign w:val="center"/>
            <w:hideMark/>
          </w:tcPr>
          <w:p w:rsidR="00BA1E48" w:rsidRPr="00A75F2B" w:rsidRDefault="0077291B" w:rsidP="0077291B">
            <w:pPr>
              <w:spacing w:line="276" w:lineRule="auto"/>
              <w:ind w:firstLine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</w:rPr>
              <w:t>6</w:t>
            </w:r>
            <w:r w:rsidR="00BA1E48" w:rsidRPr="00A75F2B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09</w:t>
            </w:r>
            <w:r w:rsidR="00BA1E48" w:rsidRPr="00A75F2B">
              <w:rPr>
                <w:color w:val="000000"/>
                <w:sz w:val="22"/>
              </w:rPr>
              <w:t>%</w:t>
            </w:r>
          </w:p>
        </w:tc>
        <w:tc>
          <w:tcPr>
            <w:tcW w:w="2769" w:type="dxa"/>
            <w:vAlign w:val="center"/>
            <w:hideMark/>
          </w:tcPr>
          <w:p w:rsidR="00BA1E48" w:rsidRPr="00A75F2B" w:rsidRDefault="0077291B" w:rsidP="00A75F2B">
            <w:pPr>
              <w:spacing w:line="276" w:lineRule="auto"/>
              <w:ind w:firstLine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</w:rPr>
              <w:t>9</w:t>
            </w:r>
            <w:r w:rsidR="00BA1E48" w:rsidRPr="00A75F2B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16</w:t>
            </w:r>
            <w:r w:rsidR="00BA1E48" w:rsidRPr="00A75F2B">
              <w:rPr>
                <w:color w:val="000000"/>
                <w:sz w:val="22"/>
              </w:rPr>
              <w:t>%</w:t>
            </w:r>
          </w:p>
        </w:tc>
      </w:tr>
      <w:tr w:rsidR="00BA1E48" w:rsidRPr="00A75F2B" w:rsidTr="00A75F2B">
        <w:tc>
          <w:tcPr>
            <w:tcW w:w="460" w:type="dxa"/>
            <w:shd w:val="clear" w:color="auto" w:fill="auto"/>
            <w:vAlign w:val="center"/>
          </w:tcPr>
          <w:p w:rsidR="00BA1E48" w:rsidRPr="00A75F2B" w:rsidRDefault="00BA1E48" w:rsidP="00A75F2B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A75F2B">
              <w:rPr>
                <w:color w:val="000000"/>
                <w:sz w:val="22"/>
              </w:rPr>
              <w:t>(3)</w:t>
            </w:r>
          </w:p>
        </w:tc>
        <w:tc>
          <w:tcPr>
            <w:tcW w:w="3292" w:type="dxa"/>
            <w:vAlign w:val="center"/>
            <w:hideMark/>
          </w:tcPr>
          <w:p w:rsidR="00BA1E48" w:rsidRPr="00A75F2B" w:rsidRDefault="00BA1E48" w:rsidP="00A75F2B">
            <w:pPr>
              <w:spacing w:line="276" w:lineRule="auto"/>
              <w:ind w:firstLine="0"/>
              <w:jc w:val="left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75F2B">
              <w:rPr>
                <w:color w:val="000000"/>
                <w:sz w:val="22"/>
              </w:rPr>
              <w:t>Единовременный возврат НДФЛ в размере 50% инвестиций</w:t>
            </w:r>
          </w:p>
        </w:tc>
        <w:tc>
          <w:tcPr>
            <w:tcW w:w="2768" w:type="dxa"/>
            <w:vAlign w:val="center"/>
            <w:hideMark/>
          </w:tcPr>
          <w:p w:rsidR="00BA1E48" w:rsidRPr="00A75F2B" w:rsidRDefault="0077291B" w:rsidP="00A75F2B">
            <w:pPr>
              <w:spacing w:line="276" w:lineRule="auto"/>
              <w:ind w:firstLine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</w:rPr>
              <w:t>7</w:t>
            </w:r>
            <w:r w:rsidR="00BA1E48" w:rsidRPr="00A75F2B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55</w:t>
            </w:r>
            <w:r w:rsidR="00BA1E48" w:rsidRPr="00A75F2B">
              <w:rPr>
                <w:color w:val="000000"/>
                <w:sz w:val="22"/>
              </w:rPr>
              <w:t>%</w:t>
            </w:r>
          </w:p>
        </w:tc>
        <w:tc>
          <w:tcPr>
            <w:tcW w:w="2769" w:type="dxa"/>
            <w:vAlign w:val="center"/>
            <w:hideMark/>
          </w:tcPr>
          <w:p w:rsidR="00BA1E48" w:rsidRPr="00A75F2B" w:rsidRDefault="00BA1E48" w:rsidP="00A75F2B">
            <w:pPr>
              <w:spacing w:line="276" w:lineRule="auto"/>
              <w:ind w:firstLine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75F2B">
              <w:rPr>
                <w:color w:val="000000"/>
                <w:sz w:val="22"/>
              </w:rPr>
              <w:t>9,</w:t>
            </w:r>
            <w:r w:rsidR="0077291B">
              <w:rPr>
                <w:color w:val="000000"/>
                <w:sz w:val="22"/>
              </w:rPr>
              <w:t>92</w:t>
            </w:r>
            <w:r w:rsidRPr="00A75F2B">
              <w:rPr>
                <w:color w:val="000000"/>
                <w:sz w:val="22"/>
              </w:rPr>
              <w:t>%</w:t>
            </w:r>
          </w:p>
        </w:tc>
      </w:tr>
      <w:tr w:rsidR="00BA1E48" w:rsidRPr="00A75F2B" w:rsidTr="00A75F2B">
        <w:tc>
          <w:tcPr>
            <w:tcW w:w="460" w:type="dxa"/>
            <w:shd w:val="clear" w:color="auto" w:fill="auto"/>
            <w:vAlign w:val="center"/>
          </w:tcPr>
          <w:p w:rsidR="00BA1E48" w:rsidRPr="00A75F2B" w:rsidRDefault="00BA1E48" w:rsidP="00A75F2B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A75F2B">
              <w:rPr>
                <w:color w:val="000000"/>
                <w:sz w:val="22"/>
              </w:rPr>
              <w:t>(4)</w:t>
            </w:r>
          </w:p>
        </w:tc>
        <w:tc>
          <w:tcPr>
            <w:tcW w:w="3292" w:type="dxa"/>
            <w:vAlign w:val="center"/>
            <w:hideMark/>
          </w:tcPr>
          <w:p w:rsidR="00BA1E48" w:rsidRPr="00A75F2B" w:rsidRDefault="00BA1E48" w:rsidP="00A75F2B">
            <w:pPr>
              <w:spacing w:line="276" w:lineRule="auto"/>
              <w:ind w:firstLine="0"/>
              <w:jc w:val="left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75F2B">
              <w:rPr>
                <w:color w:val="000000"/>
                <w:sz w:val="22"/>
              </w:rPr>
              <w:t>Вычет 50% инвестиций из налогооблагаемой базы по НДФЛ</w:t>
            </w:r>
          </w:p>
        </w:tc>
        <w:tc>
          <w:tcPr>
            <w:tcW w:w="2768" w:type="dxa"/>
            <w:vAlign w:val="center"/>
            <w:hideMark/>
          </w:tcPr>
          <w:p w:rsidR="00BA1E48" w:rsidRPr="00A75F2B" w:rsidRDefault="00BA1E48" w:rsidP="0077291B">
            <w:pPr>
              <w:spacing w:line="276" w:lineRule="auto"/>
              <w:ind w:firstLine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75F2B">
              <w:rPr>
                <w:color w:val="000000"/>
                <w:sz w:val="22"/>
              </w:rPr>
              <w:t>-</w:t>
            </w:r>
            <w:r w:rsidR="0077291B">
              <w:rPr>
                <w:color w:val="000000"/>
                <w:sz w:val="22"/>
              </w:rPr>
              <w:t>6,00</w:t>
            </w:r>
            <w:r w:rsidRPr="00A75F2B">
              <w:rPr>
                <w:color w:val="000000"/>
                <w:sz w:val="22"/>
              </w:rPr>
              <w:t>%</w:t>
            </w:r>
          </w:p>
        </w:tc>
        <w:tc>
          <w:tcPr>
            <w:tcW w:w="2769" w:type="dxa"/>
            <w:vAlign w:val="center"/>
            <w:hideMark/>
          </w:tcPr>
          <w:p w:rsidR="00BA1E48" w:rsidRPr="00A75F2B" w:rsidRDefault="0077291B" w:rsidP="0077291B">
            <w:pPr>
              <w:spacing w:line="276" w:lineRule="auto"/>
              <w:ind w:firstLine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</w:rPr>
              <w:t>-5</w:t>
            </w:r>
            <w:r w:rsidR="00BA1E48" w:rsidRPr="00A75F2B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31</w:t>
            </w:r>
            <w:r w:rsidR="00BA1E48" w:rsidRPr="00A75F2B">
              <w:rPr>
                <w:color w:val="000000"/>
                <w:sz w:val="22"/>
              </w:rPr>
              <w:t>%</w:t>
            </w:r>
          </w:p>
        </w:tc>
      </w:tr>
      <w:tr w:rsidR="00BA1E48" w:rsidRPr="00A75F2B" w:rsidTr="00A75F2B">
        <w:tc>
          <w:tcPr>
            <w:tcW w:w="460" w:type="dxa"/>
            <w:shd w:val="clear" w:color="auto" w:fill="auto"/>
            <w:vAlign w:val="center"/>
          </w:tcPr>
          <w:p w:rsidR="00BA1E48" w:rsidRPr="00A75F2B" w:rsidRDefault="00BA1E48" w:rsidP="00A75F2B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A75F2B">
              <w:rPr>
                <w:color w:val="000000"/>
                <w:sz w:val="22"/>
              </w:rPr>
              <w:t>(5)</w:t>
            </w:r>
          </w:p>
        </w:tc>
        <w:tc>
          <w:tcPr>
            <w:tcW w:w="3292" w:type="dxa"/>
            <w:vAlign w:val="center"/>
            <w:hideMark/>
          </w:tcPr>
          <w:p w:rsidR="00BA1E48" w:rsidRPr="00A75F2B" w:rsidRDefault="00BA1E48" w:rsidP="00A75F2B">
            <w:pPr>
              <w:spacing w:line="276" w:lineRule="auto"/>
              <w:ind w:firstLine="0"/>
              <w:jc w:val="left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75F2B">
              <w:rPr>
                <w:color w:val="000000"/>
                <w:sz w:val="22"/>
              </w:rPr>
              <w:t>Уменьшение налогооблагаемой базы по НДФЛ на сумму полученных убытков от инвестирования</w:t>
            </w:r>
          </w:p>
        </w:tc>
        <w:tc>
          <w:tcPr>
            <w:tcW w:w="2768" w:type="dxa"/>
            <w:vAlign w:val="center"/>
            <w:hideMark/>
          </w:tcPr>
          <w:p w:rsidR="00BA1E48" w:rsidRPr="00A75F2B" w:rsidRDefault="00BA1E48" w:rsidP="0077291B">
            <w:pPr>
              <w:spacing w:line="276" w:lineRule="auto"/>
              <w:ind w:firstLine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75F2B">
              <w:rPr>
                <w:color w:val="000000"/>
                <w:sz w:val="22"/>
              </w:rPr>
              <w:t>-</w:t>
            </w:r>
            <w:r w:rsidR="0077291B">
              <w:rPr>
                <w:color w:val="000000"/>
                <w:sz w:val="22"/>
              </w:rPr>
              <w:t>6</w:t>
            </w:r>
            <w:r w:rsidRPr="00A75F2B">
              <w:rPr>
                <w:color w:val="000000"/>
                <w:sz w:val="22"/>
              </w:rPr>
              <w:t>,</w:t>
            </w:r>
            <w:r w:rsidR="0077291B">
              <w:rPr>
                <w:color w:val="000000"/>
                <w:sz w:val="22"/>
              </w:rPr>
              <w:t>98</w:t>
            </w:r>
            <w:r w:rsidRPr="00A75F2B">
              <w:rPr>
                <w:color w:val="000000"/>
                <w:sz w:val="22"/>
              </w:rPr>
              <w:t>%</w:t>
            </w:r>
          </w:p>
        </w:tc>
        <w:tc>
          <w:tcPr>
            <w:tcW w:w="2769" w:type="dxa"/>
            <w:vAlign w:val="center"/>
            <w:hideMark/>
          </w:tcPr>
          <w:p w:rsidR="00BA1E48" w:rsidRPr="00A75F2B" w:rsidRDefault="0077291B" w:rsidP="00A75F2B">
            <w:pPr>
              <w:spacing w:line="276" w:lineRule="auto"/>
              <w:ind w:firstLine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</w:rPr>
              <w:t>-6</w:t>
            </w:r>
            <w:r w:rsidR="00BA1E48" w:rsidRPr="00A75F2B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89</w:t>
            </w:r>
            <w:r w:rsidR="00BA1E48" w:rsidRPr="00A75F2B">
              <w:rPr>
                <w:color w:val="000000"/>
                <w:sz w:val="22"/>
              </w:rPr>
              <w:t>%</w:t>
            </w:r>
          </w:p>
        </w:tc>
      </w:tr>
      <w:tr w:rsidR="00BA1E48" w:rsidRPr="00A75F2B" w:rsidTr="00A75F2B">
        <w:trPr>
          <w:trHeight w:val="431"/>
        </w:trPr>
        <w:tc>
          <w:tcPr>
            <w:tcW w:w="460" w:type="dxa"/>
            <w:shd w:val="clear" w:color="auto" w:fill="auto"/>
            <w:vAlign w:val="center"/>
          </w:tcPr>
          <w:p w:rsidR="00BA1E48" w:rsidRPr="00A75F2B" w:rsidRDefault="00BA1E48" w:rsidP="00A75F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75F2B">
              <w:rPr>
                <w:color w:val="000000"/>
                <w:sz w:val="22"/>
              </w:rPr>
              <w:t>(6)</w:t>
            </w:r>
          </w:p>
        </w:tc>
        <w:tc>
          <w:tcPr>
            <w:tcW w:w="3292" w:type="dxa"/>
            <w:vAlign w:val="center"/>
          </w:tcPr>
          <w:p w:rsidR="00BA1E48" w:rsidRPr="00A75F2B" w:rsidRDefault="00BA1E48" w:rsidP="00A75F2B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A75F2B">
              <w:rPr>
                <w:color w:val="000000"/>
                <w:sz w:val="22"/>
              </w:rPr>
              <w:t>Одновременное введение (4) и (5)</w:t>
            </w:r>
          </w:p>
        </w:tc>
        <w:tc>
          <w:tcPr>
            <w:tcW w:w="2768" w:type="dxa"/>
            <w:vAlign w:val="center"/>
          </w:tcPr>
          <w:p w:rsidR="00BA1E48" w:rsidRPr="00A75F2B" w:rsidRDefault="0077291B" w:rsidP="0077291B">
            <w:pPr>
              <w:spacing w:line="276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-5,65</w:t>
            </w:r>
            <w:r w:rsidR="00BA1E48" w:rsidRPr="00A75F2B">
              <w:rPr>
                <w:color w:val="000000"/>
                <w:sz w:val="22"/>
              </w:rPr>
              <w:t>%</w:t>
            </w:r>
          </w:p>
        </w:tc>
        <w:tc>
          <w:tcPr>
            <w:tcW w:w="2769" w:type="dxa"/>
            <w:vAlign w:val="center"/>
          </w:tcPr>
          <w:p w:rsidR="00BA1E48" w:rsidRPr="00A75F2B" w:rsidRDefault="0077291B" w:rsidP="00A75F2B">
            <w:pPr>
              <w:keepNext/>
              <w:spacing w:line="276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-5</w:t>
            </w:r>
            <w:r w:rsidR="00BA1E48" w:rsidRPr="00A75F2B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31</w:t>
            </w:r>
            <w:r w:rsidR="00BA1E48" w:rsidRPr="00A75F2B">
              <w:rPr>
                <w:color w:val="000000"/>
                <w:sz w:val="22"/>
              </w:rPr>
              <w:t>%</w:t>
            </w:r>
          </w:p>
        </w:tc>
      </w:tr>
    </w:tbl>
    <w:p w:rsidR="00BA1E48" w:rsidRPr="00A75F2B" w:rsidRDefault="00BA1E48" w:rsidP="00BA1E48">
      <w:pPr>
        <w:spacing w:before="120" w:after="120" w:line="360" w:lineRule="auto"/>
        <w:ind w:firstLine="709"/>
        <w:rPr>
          <w:szCs w:val="24"/>
        </w:rPr>
      </w:pPr>
      <w:r w:rsidRPr="00A75F2B">
        <w:rPr>
          <w:szCs w:val="24"/>
        </w:rPr>
        <w:t xml:space="preserve">Результаты </w:t>
      </w:r>
      <w:r w:rsidR="009F3855" w:rsidRPr="00A75F2B">
        <w:rPr>
          <w:szCs w:val="24"/>
        </w:rPr>
        <w:t>расчетов</w:t>
      </w:r>
      <w:r w:rsidR="006F010C" w:rsidRPr="00A75F2B">
        <w:rPr>
          <w:szCs w:val="24"/>
        </w:rPr>
        <w:t xml:space="preserve"> </w:t>
      </w:r>
      <w:r w:rsidRPr="00A75F2B">
        <w:rPr>
          <w:szCs w:val="24"/>
        </w:rPr>
        <w:t>показывают, что введение мер с</w:t>
      </w:r>
      <w:r w:rsidR="009F3855" w:rsidRPr="00A75F2B">
        <w:rPr>
          <w:szCs w:val="24"/>
        </w:rPr>
        <w:t xml:space="preserve">тимулирования по сценарию 2 </w:t>
      </w:r>
      <w:r w:rsidR="0077291B">
        <w:rPr>
          <w:szCs w:val="24"/>
        </w:rPr>
        <w:t xml:space="preserve">или 3 </w:t>
      </w:r>
      <w:r w:rsidR="009F3855" w:rsidRPr="00A75F2B">
        <w:rPr>
          <w:szCs w:val="24"/>
        </w:rPr>
        <w:t>(</w:t>
      </w:r>
      <w:r w:rsidRPr="00A75F2B">
        <w:rPr>
          <w:szCs w:val="24"/>
        </w:rPr>
        <w:t>вычет 50</w:t>
      </w:r>
      <w:r w:rsidR="00E9279D">
        <w:rPr>
          <w:szCs w:val="24"/>
        </w:rPr>
        <w:t xml:space="preserve"> процентов </w:t>
      </w:r>
      <w:r w:rsidRPr="00A75F2B">
        <w:rPr>
          <w:szCs w:val="24"/>
        </w:rPr>
        <w:t>инвестиций из суммы НДФЛ с возможностью переноса неиспользованного вычета на будущие периоды</w:t>
      </w:r>
      <w:r w:rsidR="0077291B">
        <w:rPr>
          <w:szCs w:val="24"/>
        </w:rPr>
        <w:t xml:space="preserve"> или единовременный возврат 50 процентов инвестиций</w:t>
      </w:r>
      <w:r w:rsidR="009F3855" w:rsidRPr="00A75F2B">
        <w:rPr>
          <w:szCs w:val="24"/>
        </w:rPr>
        <w:t>)</w:t>
      </w:r>
      <w:r w:rsidRPr="00A75F2B">
        <w:rPr>
          <w:szCs w:val="24"/>
        </w:rPr>
        <w:t>,</w:t>
      </w:r>
      <w:r w:rsidR="006F010C" w:rsidRPr="00A75F2B">
        <w:rPr>
          <w:szCs w:val="24"/>
        </w:rPr>
        <w:t xml:space="preserve"> </w:t>
      </w:r>
      <w:r w:rsidRPr="00A75F2B">
        <w:rPr>
          <w:szCs w:val="24"/>
        </w:rPr>
        <w:t xml:space="preserve">кратно увеличивает привлекательность частных инвестиций и является мощным импульсом для их интенсивного роста. </w:t>
      </w:r>
    </w:p>
    <w:p w:rsidR="00BA1E48" w:rsidRPr="00A75F2B" w:rsidRDefault="00BA1E48" w:rsidP="00BA1E48">
      <w:pPr>
        <w:spacing w:before="120" w:after="120" w:line="360" w:lineRule="auto"/>
        <w:ind w:firstLine="709"/>
        <w:rPr>
          <w:szCs w:val="24"/>
        </w:rPr>
      </w:pPr>
      <w:r w:rsidRPr="00A75F2B">
        <w:rPr>
          <w:szCs w:val="24"/>
        </w:rPr>
        <w:t>Для целей оценки экономической эффективности предлагаемой меры разработана экономическая модель, расчет параметров которой осуществлялся на основе фактических финансовых показателях компаний-резидентов «</w:t>
      </w:r>
      <w:proofErr w:type="spellStart"/>
      <w:r w:rsidRPr="00A75F2B">
        <w:rPr>
          <w:szCs w:val="24"/>
        </w:rPr>
        <w:t>Сколково</w:t>
      </w:r>
      <w:proofErr w:type="spellEnd"/>
      <w:r w:rsidRPr="00A75F2B">
        <w:rPr>
          <w:szCs w:val="24"/>
        </w:rPr>
        <w:t>» и был экстраполирован</w:t>
      </w:r>
      <w:r w:rsidR="006F010C" w:rsidRPr="00A75F2B">
        <w:rPr>
          <w:szCs w:val="24"/>
        </w:rPr>
        <w:t xml:space="preserve"> </w:t>
      </w:r>
      <w:r w:rsidRPr="00A75F2B">
        <w:rPr>
          <w:szCs w:val="24"/>
        </w:rPr>
        <w:t>на другие</w:t>
      </w:r>
      <w:r w:rsidR="006F010C" w:rsidRPr="00A75F2B">
        <w:rPr>
          <w:szCs w:val="24"/>
        </w:rPr>
        <w:t xml:space="preserve"> </w:t>
      </w:r>
      <w:r w:rsidRPr="00A75F2B">
        <w:rPr>
          <w:szCs w:val="24"/>
        </w:rPr>
        <w:t>российские высокотехнологичные компании, находя</w:t>
      </w:r>
      <w:r w:rsidR="009F3855" w:rsidRPr="00A75F2B">
        <w:rPr>
          <w:szCs w:val="24"/>
        </w:rPr>
        <w:t>щиеся на ранних этапах развития</w:t>
      </w:r>
      <w:r w:rsidRPr="00A75F2B">
        <w:rPr>
          <w:szCs w:val="24"/>
        </w:rPr>
        <w:t>. Кроме того, использовались статистические данные оценки эффективности аналогичных мер поддержки бизнес-ангелов</w:t>
      </w:r>
      <w:r w:rsidR="006F010C" w:rsidRPr="00A75F2B">
        <w:rPr>
          <w:szCs w:val="24"/>
        </w:rPr>
        <w:t xml:space="preserve"> </w:t>
      </w:r>
      <w:r w:rsidRPr="00A75F2B">
        <w:rPr>
          <w:szCs w:val="24"/>
        </w:rPr>
        <w:t xml:space="preserve">в других странах. </w:t>
      </w:r>
    </w:p>
    <w:p w:rsidR="00BA1E48" w:rsidRPr="00A75F2B" w:rsidRDefault="00343B61" w:rsidP="00BA1E48">
      <w:pPr>
        <w:spacing w:before="120" w:after="120" w:line="360" w:lineRule="auto"/>
        <w:ind w:firstLine="709"/>
        <w:rPr>
          <w:szCs w:val="24"/>
        </w:rPr>
      </w:pPr>
      <w:r w:rsidRPr="00A75F2B">
        <w:rPr>
          <w:szCs w:val="24"/>
        </w:rPr>
        <w:t xml:space="preserve">Принимая во внимание опыт европейских стран, где введение льгот привело к взрывному росту числа инвесторов, в </w:t>
      </w:r>
      <w:r w:rsidR="00BA1E48" w:rsidRPr="00A75F2B">
        <w:rPr>
          <w:szCs w:val="24"/>
        </w:rPr>
        <w:t xml:space="preserve">предложенной модели основным источником роста частных инвестиций станет </w:t>
      </w:r>
      <w:r w:rsidR="00C0104B">
        <w:rPr>
          <w:szCs w:val="24"/>
        </w:rPr>
        <w:t>трех</w:t>
      </w:r>
      <w:r w:rsidR="00213025">
        <w:rPr>
          <w:szCs w:val="24"/>
        </w:rPr>
        <w:t xml:space="preserve">кратное </w:t>
      </w:r>
      <w:r w:rsidR="00BA1E48" w:rsidRPr="00A75F2B">
        <w:rPr>
          <w:szCs w:val="24"/>
        </w:rPr>
        <w:t>увеличение числа новых бизнес-ангелов</w:t>
      </w:r>
      <w:r w:rsidR="00213025">
        <w:rPr>
          <w:szCs w:val="24"/>
        </w:rPr>
        <w:t xml:space="preserve"> за 5 лет действия предлагаемых мер. </w:t>
      </w:r>
      <w:r w:rsidR="003734C8" w:rsidRPr="00A75F2B">
        <w:rPr>
          <w:szCs w:val="24"/>
        </w:rPr>
        <w:t xml:space="preserve">Кроме того, объем инвестиций будет увеличен за счет реинвестирования средств, полученных в результате вычета, а также дохода полученного от продажи акций компаний. </w:t>
      </w:r>
      <w:r w:rsidR="001C338B" w:rsidRPr="00A75F2B">
        <w:rPr>
          <w:szCs w:val="24"/>
        </w:rPr>
        <w:t>В Европе столь существенный рост числа инвесторов в первые годы введения льгот обуславливается в том числе обширной информационной поддержкой, направленной на популяризацию принятых мер</w:t>
      </w:r>
      <w:r w:rsidR="003734C8" w:rsidRPr="00A75F2B">
        <w:rPr>
          <w:szCs w:val="24"/>
        </w:rPr>
        <w:t xml:space="preserve"> среди потенциальных инвесторов, включая подготовку специальных брошюр и информационных интернет-порталов</w:t>
      </w:r>
      <w:r w:rsidR="001C338B" w:rsidRPr="00A75F2B">
        <w:rPr>
          <w:szCs w:val="24"/>
        </w:rPr>
        <w:t>. В случае</w:t>
      </w:r>
      <w:r w:rsidR="00A75F2B" w:rsidRPr="00A75F2B">
        <w:rPr>
          <w:szCs w:val="24"/>
        </w:rPr>
        <w:t>,</w:t>
      </w:r>
      <w:r w:rsidR="001C338B" w:rsidRPr="00A75F2B">
        <w:rPr>
          <w:szCs w:val="24"/>
        </w:rPr>
        <w:t xml:space="preserve"> если инициативы</w:t>
      </w:r>
      <w:r w:rsidR="003734C8" w:rsidRPr="00A75F2B">
        <w:rPr>
          <w:szCs w:val="24"/>
        </w:rPr>
        <w:t>,</w:t>
      </w:r>
      <w:r w:rsidR="001C338B" w:rsidRPr="00A75F2B">
        <w:rPr>
          <w:szCs w:val="24"/>
        </w:rPr>
        <w:t xml:space="preserve"> предлагаемые настоящим законопроектом</w:t>
      </w:r>
      <w:r w:rsidR="003734C8" w:rsidRPr="00A75F2B">
        <w:rPr>
          <w:szCs w:val="24"/>
        </w:rPr>
        <w:t>,</w:t>
      </w:r>
      <w:r w:rsidR="001C338B" w:rsidRPr="00A75F2B">
        <w:rPr>
          <w:szCs w:val="24"/>
        </w:rPr>
        <w:t xml:space="preserve"> будут популяризироваться в информационной среде так</w:t>
      </w:r>
      <w:r w:rsidR="00A75F2B" w:rsidRPr="00A75F2B">
        <w:rPr>
          <w:szCs w:val="24"/>
        </w:rPr>
        <w:t xml:space="preserve"> </w:t>
      </w:r>
      <w:r w:rsidR="001C338B" w:rsidRPr="00A75F2B">
        <w:rPr>
          <w:szCs w:val="24"/>
        </w:rPr>
        <w:t>же активно,</w:t>
      </w:r>
      <w:r w:rsidR="003734C8" w:rsidRPr="00A75F2B">
        <w:rPr>
          <w:szCs w:val="24"/>
        </w:rPr>
        <w:t xml:space="preserve"> кратного роста числа активных бизнес-ангелов можно ожидать и в России.</w:t>
      </w:r>
      <w:r w:rsidR="001C338B" w:rsidRPr="00A75F2B">
        <w:rPr>
          <w:szCs w:val="24"/>
        </w:rPr>
        <w:t xml:space="preserve"> </w:t>
      </w:r>
    </w:p>
    <w:p w:rsidR="00BA1E48" w:rsidRPr="00A75F2B" w:rsidRDefault="00BA1E48" w:rsidP="00BA1E48">
      <w:pPr>
        <w:pStyle w:val="Caption"/>
        <w:keepNext/>
        <w:rPr>
          <w:b w:val="0"/>
          <w:color w:val="auto"/>
          <w:sz w:val="28"/>
          <w:szCs w:val="24"/>
        </w:rPr>
      </w:pPr>
      <w:r w:rsidRPr="00A75F2B">
        <w:rPr>
          <w:b w:val="0"/>
          <w:color w:val="auto"/>
          <w:sz w:val="28"/>
          <w:szCs w:val="24"/>
        </w:rPr>
        <w:t xml:space="preserve">Таблица </w:t>
      </w:r>
      <w:r w:rsidRPr="00A75F2B">
        <w:rPr>
          <w:b w:val="0"/>
          <w:color w:val="auto"/>
          <w:sz w:val="28"/>
          <w:szCs w:val="24"/>
        </w:rPr>
        <w:fldChar w:fldCharType="begin"/>
      </w:r>
      <w:r w:rsidRPr="00A75F2B">
        <w:rPr>
          <w:b w:val="0"/>
          <w:color w:val="auto"/>
          <w:sz w:val="28"/>
          <w:szCs w:val="24"/>
        </w:rPr>
        <w:instrText xml:space="preserve"> SEQ Таблица \* ARABIC </w:instrText>
      </w:r>
      <w:r w:rsidRPr="00A75F2B">
        <w:rPr>
          <w:b w:val="0"/>
          <w:color w:val="auto"/>
          <w:sz w:val="28"/>
          <w:szCs w:val="24"/>
        </w:rPr>
        <w:fldChar w:fldCharType="separate"/>
      </w:r>
      <w:r w:rsidR="003257FF" w:rsidRPr="00A75F2B">
        <w:rPr>
          <w:b w:val="0"/>
          <w:noProof/>
          <w:color w:val="auto"/>
          <w:sz w:val="28"/>
          <w:szCs w:val="24"/>
        </w:rPr>
        <w:t>2</w:t>
      </w:r>
      <w:r w:rsidRPr="00A75F2B">
        <w:rPr>
          <w:b w:val="0"/>
          <w:color w:val="auto"/>
          <w:sz w:val="28"/>
          <w:szCs w:val="24"/>
        </w:rPr>
        <w:fldChar w:fldCharType="end"/>
      </w:r>
      <w:r w:rsidRPr="00A75F2B">
        <w:rPr>
          <w:b w:val="0"/>
          <w:color w:val="auto"/>
          <w:sz w:val="28"/>
          <w:szCs w:val="24"/>
        </w:rPr>
        <w:t>. Влияние предлагаемых мер на объем бизнес-ангельских инвестиций</w:t>
      </w:r>
      <w:r w:rsidR="00343B61" w:rsidRPr="00A75F2B">
        <w:rPr>
          <w:b w:val="0"/>
          <w:color w:val="auto"/>
          <w:sz w:val="28"/>
          <w:szCs w:val="24"/>
        </w:rPr>
        <w:t xml:space="preserve"> в случае </w:t>
      </w:r>
      <w:r w:rsidR="000A4CF1">
        <w:rPr>
          <w:b w:val="0"/>
          <w:color w:val="auto"/>
          <w:sz w:val="28"/>
          <w:szCs w:val="24"/>
        </w:rPr>
        <w:t>оптимистичного прогноза</w:t>
      </w:r>
      <w:r w:rsidR="00343B61" w:rsidRPr="00A75F2B">
        <w:rPr>
          <w:b w:val="0"/>
          <w:color w:val="auto"/>
          <w:sz w:val="28"/>
          <w:szCs w:val="24"/>
        </w:rPr>
        <w:t xml:space="preserve"> роста</w:t>
      </w:r>
      <w:r w:rsidR="009A68F3" w:rsidRPr="00A75F2B">
        <w:rPr>
          <w:b w:val="0"/>
          <w:color w:val="auto"/>
          <w:sz w:val="28"/>
          <w:szCs w:val="24"/>
        </w:rPr>
        <w:t xml:space="preserve"> числа сделок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37A15" w:rsidRPr="00A75F2B" w:rsidTr="00A75F2B">
        <w:trPr>
          <w:trHeight w:val="300"/>
        </w:trPr>
        <w:tc>
          <w:tcPr>
            <w:tcW w:w="1668" w:type="dxa"/>
            <w:noWrap/>
            <w:hideMark/>
          </w:tcPr>
          <w:p w:rsidR="00337A15" w:rsidRPr="00A75F2B" w:rsidRDefault="00337A15" w:rsidP="00B654DF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37A15" w:rsidRPr="00A75F2B" w:rsidRDefault="00337A15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992" w:type="dxa"/>
            <w:noWrap/>
            <w:vAlign w:val="center"/>
            <w:hideMark/>
          </w:tcPr>
          <w:p w:rsidR="00337A15" w:rsidRPr="00A75F2B" w:rsidRDefault="00337A15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992" w:type="dxa"/>
            <w:noWrap/>
            <w:vAlign w:val="center"/>
            <w:hideMark/>
          </w:tcPr>
          <w:p w:rsidR="00337A15" w:rsidRPr="00A75F2B" w:rsidRDefault="00337A15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2020</w:t>
            </w:r>
          </w:p>
        </w:tc>
        <w:tc>
          <w:tcPr>
            <w:tcW w:w="993" w:type="dxa"/>
            <w:noWrap/>
            <w:vAlign w:val="center"/>
            <w:hideMark/>
          </w:tcPr>
          <w:p w:rsidR="00337A15" w:rsidRPr="00A75F2B" w:rsidRDefault="00337A15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2021</w:t>
            </w:r>
          </w:p>
        </w:tc>
        <w:tc>
          <w:tcPr>
            <w:tcW w:w="992" w:type="dxa"/>
            <w:noWrap/>
            <w:vAlign w:val="center"/>
            <w:hideMark/>
          </w:tcPr>
          <w:p w:rsidR="00337A15" w:rsidRPr="00A75F2B" w:rsidRDefault="00337A15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2022</w:t>
            </w:r>
          </w:p>
        </w:tc>
        <w:tc>
          <w:tcPr>
            <w:tcW w:w="992" w:type="dxa"/>
            <w:noWrap/>
            <w:vAlign w:val="center"/>
            <w:hideMark/>
          </w:tcPr>
          <w:p w:rsidR="00337A15" w:rsidRPr="00A75F2B" w:rsidRDefault="00337A15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2023</w:t>
            </w:r>
          </w:p>
        </w:tc>
        <w:tc>
          <w:tcPr>
            <w:tcW w:w="992" w:type="dxa"/>
            <w:noWrap/>
            <w:vAlign w:val="center"/>
            <w:hideMark/>
          </w:tcPr>
          <w:p w:rsidR="00337A15" w:rsidRPr="00A75F2B" w:rsidRDefault="00337A15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2024</w:t>
            </w:r>
          </w:p>
        </w:tc>
        <w:tc>
          <w:tcPr>
            <w:tcW w:w="993" w:type="dxa"/>
            <w:noWrap/>
            <w:vAlign w:val="center"/>
            <w:hideMark/>
          </w:tcPr>
          <w:p w:rsidR="00337A15" w:rsidRPr="00A75F2B" w:rsidRDefault="00337A15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2025</w:t>
            </w:r>
          </w:p>
        </w:tc>
      </w:tr>
      <w:tr w:rsidR="00C0104B" w:rsidRPr="00A75F2B" w:rsidTr="00171138">
        <w:trPr>
          <w:trHeight w:val="300"/>
        </w:trPr>
        <w:tc>
          <w:tcPr>
            <w:tcW w:w="1668" w:type="dxa"/>
            <w:noWrap/>
            <w:vAlign w:val="center"/>
          </w:tcPr>
          <w:p w:rsidR="00C0104B" w:rsidRPr="00A75F2B" w:rsidRDefault="00C0104B" w:rsidP="00A75F2B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Число бизнес-ангелов</w:t>
            </w:r>
          </w:p>
        </w:tc>
        <w:tc>
          <w:tcPr>
            <w:tcW w:w="992" w:type="dxa"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350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420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546</w:t>
            </w:r>
          </w:p>
        </w:tc>
        <w:tc>
          <w:tcPr>
            <w:tcW w:w="993" w:type="dxa"/>
            <w:noWrap/>
            <w:vAlign w:val="center"/>
          </w:tcPr>
          <w:p w:rsidR="00C0104B" w:rsidRPr="00A75F2B" w:rsidRDefault="00C0104B" w:rsidP="000A4CF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764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0A4CF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917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0A4CF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1 009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0A4CF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1 110</w:t>
            </w:r>
          </w:p>
        </w:tc>
        <w:tc>
          <w:tcPr>
            <w:tcW w:w="993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1 221</w:t>
            </w:r>
          </w:p>
        </w:tc>
      </w:tr>
      <w:tr w:rsidR="00C0104B" w:rsidRPr="00A75F2B" w:rsidTr="00171138">
        <w:trPr>
          <w:trHeight w:val="553"/>
        </w:trPr>
        <w:tc>
          <w:tcPr>
            <w:tcW w:w="1668" w:type="dxa"/>
            <w:noWrap/>
            <w:vAlign w:val="center"/>
            <w:hideMark/>
          </w:tcPr>
          <w:p w:rsidR="00C0104B" w:rsidRPr="00A75F2B" w:rsidRDefault="00C0104B" w:rsidP="00A75F2B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Объем инвестиций, млн руб</w:t>
            </w:r>
            <w:r>
              <w:rPr>
                <w:color w:val="000000"/>
                <w:sz w:val="18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3 721,56   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4 915,44   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7 260,87   </w:t>
            </w:r>
          </w:p>
        </w:tc>
        <w:tc>
          <w:tcPr>
            <w:tcW w:w="993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10 197,60   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13 356,88   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15 465,16   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17 905,75   </w:t>
            </w:r>
          </w:p>
        </w:tc>
        <w:tc>
          <w:tcPr>
            <w:tcW w:w="993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20 690,07   </w:t>
            </w:r>
          </w:p>
        </w:tc>
      </w:tr>
      <w:tr w:rsidR="00C0104B" w:rsidRPr="00A75F2B" w:rsidTr="00171138">
        <w:trPr>
          <w:trHeight w:val="300"/>
        </w:trPr>
        <w:tc>
          <w:tcPr>
            <w:tcW w:w="1668" w:type="dxa"/>
            <w:noWrap/>
            <w:vAlign w:val="center"/>
          </w:tcPr>
          <w:p w:rsidR="00C0104B" w:rsidRPr="00A75F2B" w:rsidRDefault="00C0104B" w:rsidP="00171138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 xml:space="preserve">В </w:t>
            </w:r>
            <w:proofErr w:type="spellStart"/>
            <w:r w:rsidRPr="00A75F2B">
              <w:rPr>
                <w:color w:val="000000"/>
                <w:sz w:val="18"/>
                <w:szCs w:val="16"/>
              </w:rPr>
              <w:t>т.ч</w:t>
            </w:r>
            <w:proofErr w:type="spellEnd"/>
            <w:r w:rsidRPr="00A75F2B">
              <w:rPr>
                <w:color w:val="000000"/>
                <w:sz w:val="18"/>
                <w:szCs w:val="16"/>
              </w:rPr>
              <w:t>. реинвестированные средства, млн руб.</w:t>
            </w:r>
          </w:p>
        </w:tc>
        <w:tc>
          <w:tcPr>
            <w:tcW w:w="992" w:type="dxa"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     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449,57   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1 455,23   </w:t>
            </w:r>
          </w:p>
        </w:tc>
        <w:tc>
          <w:tcPr>
            <w:tcW w:w="993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2 073,96   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3 606,38   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4 736,42   </w:t>
            </w:r>
          </w:p>
        </w:tc>
        <w:tc>
          <w:tcPr>
            <w:tcW w:w="992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6 103,08   </w:t>
            </w:r>
          </w:p>
        </w:tc>
        <w:tc>
          <w:tcPr>
            <w:tcW w:w="993" w:type="dxa"/>
            <w:noWrap/>
            <w:vAlign w:val="center"/>
          </w:tcPr>
          <w:p w:rsidR="00C0104B" w:rsidRPr="00A75F2B" w:rsidRDefault="00C0104B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7 707,13   </w:t>
            </w:r>
          </w:p>
        </w:tc>
      </w:tr>
    </w:tbl>
    <w:p w:rsidR="00337A15" w:rsidRPr="00A75F2B" w:rsidRDefault="00BA1E48" w:rsidP="009F3855">
      <w:pPr>
        <w:spacing w:before="240" w:after="120" w:line="360" w:lineRule="auto"/>
        <w:ind w:firstLine="709"/>
        <w:rPr>
          <w:szCs w:val="24"/>
        </w:rPr>
      </w:pPr>
      <w:r w:rsidRPr="00A75F2B">
        <w:rPr>
          <w:szCs w:val="24"/>
        </w:rPr>
        <w:t>В настоящее время средний объем частны</w:t>
      </w:r>
      <w:r w:rsidR="009F3855" w:rsidRPr="00A75F2B">
        <w:rPr>
          <w:szCs w:val="24"/>
        </w:rPr>
        <w:t xml:space="preserve">х инвестиций составляет около </w:t>
      </w:r>
      <w:r w:rsidR="00C0104B">
        <w:rPr>
          <w:szCs w:val="24"/>
        </w:rPr>
        <w:t>3</w:t>
      </w:r>
      <w:r w:rsidR="009F3855" w:rsidRPr="00A75F2B">
        <w:rPr>
          <w:szCs w:val="24"/>
        </w:rPr>
        <w:t>,</w:t>
      </w:r>
      <w:r w:rsidR="00C0104B">
        <w:rPr>
          <w:szCs w:val="24"/>
        </w:rPr>
        <w:t>7</w:t>
      </w:r>
      <w:r w:rsidR="009F3855" w:rsidRPr="00A75F2B">
        <w:rPr>
          <w:szCs w:val="24"/>
        </w:rPr>
        <w:t xml:space="preserve"> млрд</w:t>
      </w:r>
      <w:r w:rsidRPr="00A75F2B">
        <w:rPr>
          <w:szCs w:val="24"/>
        </w:rPr>
        <w:t xml:space="preserve"> рублей в год, введение предлагаемых мер стимулирования позволит увеличить эт</w:t>
      </w:r>
      <w:r w:rsidR="002B207F">
        <w:rPr>
          <w:szCs w:val="24"/>
        </w:rPr>
        <w:t>у сумму</w:t>
      </w:r>
      <w:r w:rsidRPr="00A75F2B">
        <w:rPr>
          <w:szCs w:val="24"/>
        </w:rPr>
        <w:t xml:space="preserve"> более чем в </w:t>
      </w:r>
      <w:r w:rsidR="002209FC">
        <w:rPr>
          <w:szCs w:val="24"/>
        </w:rPr>
        <w:t>4</w:t>
      </w:r>
      <w:r w:rsidRPr="00A75F2B">
        <w:rPr>
          <w:szCs w:val="24"/>
        </w:rPr>
        <w:t xml:space="preserve"> раз</w:t>
      </w:r>
      <w:r w:rsidR="002B207F">
        <w:rPr>
          <w:szCs w:val="24"/>
        </w:rPr>
        <w:t>а</w:t>
      </w:r>
      <w:r w:rsidRPr="00A75F2B">
        <w:rPr>
          <w:szCs w:val="24"/>
        </w:rPr>
        <w:t xml:space="preserve"> за 5 лет. Это позволит при необходимости симметрично сократить государственное финансирование исследований и разработок, имеющих высокий потенциал коммерциализации в краткосрочной перспективе. </w:t>
      </w:r>
    </w:p>
    <w:p w:rsidR="00F14FAD" w:rsidRPr="00A75F2B" w:rsidRDefault="009A68F3" w:rsidP="00343B61">
      <w:pPr>
        <w:spacing w:before="0" w:after="120" w:line="360" w:lineRule="auto"/>
        <w:ind w:firstLine="709"/>
        <w:rPr>
          <w:szCs w:val="24"/>
        </w:rPr>
      </w:pPr>
      <w:r w:rsidRPr="00A75F2B">
        <w:rPr>
          <w:szCs w:val="24"/>
        </w:rPr>
        <w:t xml:space="preserve">Рост объема инвестиций будет наблюдаться и в случае </w:t>
      </w:r>
      <w:r w:rsidR="00343B61" w:rsidRPr="00A75F2B">
        <w:rPr>
          <w:szCs w:val="24"/>
        </w:rPr>
        <w:t>боле</w:t>
      </w:r>
      <w:r w:rsidRPr="00A75F2B">
        <w:rPr>
          <w:szCs w:val="24"/>
        </w:rPr>
        <w:t xml:space="preserve">е постепенного увеличения числа сделок. </w:t>
      </w:r>
      <w:r w:rsidR="003734C8" w:rsidRPr="00A75F2B">
        <w:rPr>
          <w:szCs w:val="24"/>
        </w:rPr>
        <w:t>Тогда годовой объем бизнес-ангельских инвестиций к 202</w:t>
      </w:r>
      <w:r w:rsidR="002209FC">
        <w:rPr>
          <w:szCs w:val="24"/>
        </w:rPr>
        <w:t>5</w:t>
      </w:r>
      <w:r w:rsidR="003734C8" w:rsidRPr="00A75F2B">
        <w:rPr>
          <w:szCs w:val="24"/>
        </w:rPr>
        <w:t xml:space="preserve"> году вырастет более чем в </w:t>
      </w:r>
      <w:r w:rsidR="002209FC">
        <w:rPr>
          <w:szCs w:val="24"/>
        </w:rPr>
        <w:t>3</w:t>
      </w:r>
      <w:r w:rsidR="003734C8" w:rsidRPr="00A75F2B">
        <w:rPr>
          <w:szCs w:val="24"/>
        </w:rPr>
        <w:t xml:space="preserve"> раз</w:t>
      </w:r>
      <w:r w:rsidR="002209FC">
        <w:rPr>
          <w:szCs w:val="24"/>
        </w:rPr>
        <w:t>а</w:t>
      </w:r>
      <w:r w:rsidR="003734C8" w:rsidRPr="00A75F2B">
        <w:rPr>
          <w:szCs w:val="24"/>
        </w:rPr>
        <w:t xml:space="preserve">. </w:t>
      </w:r>
      <w:r w:rsidRPr="00A75F2B">
        <w:rPr>
          <w:szCs w:val="24"/>
        </w:rPr>
        <w:t>Влияние предлагаемых мер на объем инвестиций в случае более постепенного роста числа сделок представлен в Таблице 3.</w:t>
      </w:r>
    </w:p>
    <w:p w:rsidR="009A68F3" w:rsidRPr="00A75F2B" w:rsidRDefault="009A68F3" w:rsidP="00A75F2B">
      <w:pPr>
        <w:pStyle w:val="Caption"/>
        <w:keepNext/>
        <w:spacing w:line="276" w:lineRule="auto"/>
        <w:rPr>
          <w:sz w:val="20"/>
        </w:rPr>
      </w:pPr>
      <w:r w:rsidRPr="00A75F2B">
        <w:rPr>
          <w:b w:val="0"/>
          <w:color w:val="auto"/>
          <w:sz w:val="28"/>
          <w:szCs w:val="24"/>
        </w:rPr>
        <w:t xml:space="preserve">Таблица </w:t>
      </w:r>
      <w:r w:rsidRPr="00A75F2B">
        <w:rPr>
          <w:b w:val="0"/>
          <w:color w:val="auto"/>
          <w:sz w:val="28"/>
          <w:szCs w:val="24"/>
        </w:rPr>
        <w:fldChar w:fldCharType="begin"/>
      </w:r>
      <w:r w:rsidRPr="00A75F2B">
        <w:rPr>
          <w:b w:val="0"/>
          <w:color w:val="auto"/>
          <w:sz w:val="28"/>
          <w:szCs w:val="24"/>
        </w:rPr>
        <w:instrText xml:space="preserve"> SEQ Таблица \* ARABIC </w:instrText>
      </w:r>
      <w:r w:rsidRPr="00A75F2B">
        <w:rPr>
          <w:b w:val="0"/>
          <w:color w:val="auto"/>
          <w:sz w:val="28"/>
          <w:szCs w:val="24"/>
        </w:rPr>
        <w:fldChar w:fldCharType="separate"/>
      </w:r>
      <w:r w:rsidR="003257FF" w:rsidRPr="00A75F2B">
        <w:rPr>
          <w:b w:val="0"/>
          <w:noProof/>
          <w:color w:val="auto"/>
          <w:sz w:val="28"/>
          <w:szCs w:val="24"/>
        </w:rPr>
        <w:t>3</w:t>
      </w:r>
      <w:r w:rsidRPr="00A75F2B">
        <w:rPr>
          <w:b w:val="0"/>
          <w:color w:val="auto"/>
          <w:sz w:val="28"/>
          <w:szCs w:val="24"/>
        </w:rPr>
        <w:fldChar w:fldCharType="end"/>
      </w:r>
      <w:r w:rsidRPr="00A75F2B">
        <w:rPr>
          <w:b w:val="0"/>
          <w:color w:val="auto"/>
          <w:sz w:val="28"/>
          <w:szCs w:val="24"/>
        </w:rPr>
        <w:t xml:space="preserve">. Влияние предлагаемых мер на объем бизнес-ангельских инвестиций в случае </w:t>
      </w:r>
      <w:r w:rsidR="000A4CF1">
        <w:rPr>
          <w:b w:val="0"/>
          <w:color w:val="auto"/>
          <w:sz w:val="28"/>
          <w:szCs w:val="24"/>
        </w:rPr>
        <w:t xml:space="preserve">консервативного прогноза </w:t>
      </w:r>
      <w:r w:rsidRPr="00A75F2B">
        <w:rPr>
          <w:b w:val="0"/>
          <w:color w:val="auto"/>
          <w:sz w:val="28"/>
          <w:szCs w:val="24"/>
        </w:rPr>
        <w:t>роста числа сделок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209FC" w:rsidRPr="00A75F2B" w:rsidTr="00CD6F94">
        <w:trPr>
          <w:trHeight w:val="300"/>
        </w:trPr>
        <w:tc>
          <w:tcPr>
            <w:tcW w:w="1668" w:type="dxa"/>
            <w:noWrap/>
            <w:hideMark/>
          </w:tcPr>
          <w:p w:rsidR="002209FC" w:rsidRPr="00A75F2B" w:rsidRDefault="002209FC" w:rsidP="00CD6F94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09FC" w:rsidRPr="00A75F2B" w:rsidRDefault="002209FC" w:rsidP="00CD6F94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992" w:type="dxa"/>
            <w:noWrap/>
            <w:vAlign w:val="center"/>
            <w:hideMark/>
          </w:tcPr>
          <w:p w:rsidR="002209FC" w:rsidRPr="00A75F2B" w:rsidRDefault="002209FC" w:rsidP="00CD6F94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992" w:type="dxa"/>
            <w:noWrap/>
            <w:vAlign w:val="center"/>
            <w:hideMark/>
          </w:tcPr>
          <w:p w:rsidR="002209FC" w:rsidRPr="00A75F2B" w:rsidRDefault="002209FC" w:rsidP="00CD6F94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2020</w:t>
            </w:r>
          </w:p>
        </w:tc>
        <w:tc>
          <w:tcPr>
            <w:tcW w:w="993" w:type="dxa"/>
            <w:noWrap/>
            <w:vAlign w:val="center"/>
            <w:hideMark/>
          </w:tcPr>
          <w:p w:rsidR="002209FC" w:rsidRPr="00A75F2B" w:rsidRDefault="002209FC" w:rsidP="00CD6F94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2021</w:t>
            </w:r>
          </w:p>
        </w:tc>
        <w:tc>
          <w:tcPr>
            <w:tcW w:w="992" w:type="dxa"/>
            <w:noWrap/>
            <w:vAlign w:val="center"/>
            <w:hideMark/>
          </w:tcPr>
          <w:p w:rsidR="002209FC" w:rsidRPr="00A75F2B" w:rsidRDefault="002209FC" w:rsidP="00CD6F94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2022</w:t>
            </w:r>
          </w:p>
        </w:tc>
        <w:tc>
          <w:tcPr>
            <w:tcW w:w="992" w:type="dxa"/>
            <w:noWrap/>
            <w:vAlign w:val="center"/>
            <w:hideMark/>
          </w:tcPr>
          <w:p w:rsidR="002209FC" w:rsidRPr="00A75F2B" w:rsidRDefault="002209FC" w:rsidP="00CD6F94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2023</w:t>
            </w:r>
          </w:p>
        </w:tc>
        <w:tc>
          <w:tcPr>
            <w:tcW w:w="992" w:type="dxa"/>
            <w:noWrap/>
            <w:vAlign w:val="center"/>
            <w:hideMark/>
          </w:tcPr>
          <w:p w:rsidR="002209FC" w:rsidRPr="00A75F2B" w:rsidRDefault="002209FC" w:rsidP="00CD6F94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2024</w:t>
            </w:r>
          </w:p>
        </w:tc>
        <w:tc>
          <w:tcPr>
            <w:tcW w:w="993" w:type="dxa"/>
            <w:noWrap/>
            <w:vAlign w:val="center"/>
            <w:hideMark/>
          </w:tcPr>
          <w:p w:rsidR="002209FC" w:rsidRPr="00A75F2B" w:rsidRDefault="002209FC" w:rsidP="00CD6F94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2025</w:t>
            </w:r>
          </w:p>
        </w:tc>
      </w:tr>
      <w:tr w:rsidR="002209FC" w:rsidRPr="00A75F2B" w:rsidTr="00171138">
        <w:trPr>
          <w:trHeight w:val="300"/>
        </w:trPr>
        <w:tc>
          <w:tcPr>
            <w:tcW w:w="1668" w:type="dxa"/>
            <w:noWrap/>
            <w:vAlign w:val="center"/>
          </w:tcPr>
          <w:p w:rsidR="002209FC" w:rsidRPr="00A75F2B" w:rsidRDefault="002209FC" w:rsidP="00CD6F94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Число бизнес-ангелов</w:t>
            </w:r>
          </w:p>
        </w:tc>
        <w:tc>
          <w:tcPr>
            <w:tcW w:w="992" w:type="dxa"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350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385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462</w:t>
            </w:r>
          </w:p>
        </w:tc>
        <w:tc>
          <w:tcPr>
            <w:tcW w:w="993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601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661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694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729</w:t>
            </w:r>
          </w:p>
        </w:tc>
        <w:tc>
          <w:tcPr>
            <w:tcW w:w="993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765</w:t>
            </w:r>
          </w:p>
        </w:tc>
      </w:tr>
      <w:tr w:rsidR="002209FC" w:rsidRPr="00A75F2B" w:rsidTr="00171138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2209FC" w:rsidRPr="00A75F2B" w:rsidRDefault="002209FC" w:rsidP="00CD6F94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Объем инвестиций, млн руб</w:t>
            </w:r>
            <w:r>
              <w:rPr>
                <w:color w:val="000000"/>
                <w:sz w:val="18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3 721,56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4 543,29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6 321,35</w:t>
            </w:r>
          </w:p>
        </w:tc>
        <w:tc>
          <w:tcPr>
            <w:tcW w:w="993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8 310,47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10 260,55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11 407,26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12 671,70</w:t>
            </w:r>
          </w:p>
        </w:tc>
        <w:tc>
          <w:tcPr>
            <w:tcW w:w="993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14 080,65</w:t>
            </w:r>
          </w:p>
        </w:tc>
      </w:tr>
      <w:tr w:rsidR="002209FC" w:rsidRPr="00A75F2B" w:rsidTr="00171138">
        <w:trPr>
          <w:trHeight w:val="300"/>
        </w:trPr>
        <w:tc>
          <w:tcPr>
            <w:tcW w:w="1668" w:type="dxa"/>
            <w:noWrap/>
            <w:vAlign w:val="center"/>
          </w:tcPr>
          <w:p w:rsidR="002209FC" w:rsidRPr="00A75F2B" w:rsidRDefault="002209FC" w:rsidP="00171138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 xml:space="preserve">В </w:t>
            </w:r>
            <w:proofErr w:type="spellStart"/>
            <w:r w:rsidRPr="00A75F2B">
              <w:rPr>
                <w:color w:val="000000"/>
                <w:sz w:val="18"/>
                <w:szCs w:val="16"/>
              </w:rPr>
              <w:t>т.ч</w:t>
            </w:r>
            <w:proofErr w:type="spellEnd"/>
            <w:r w:rsidRPr="00A75F2B">
              <w:rPr>
                <w:color w:val="000000"/>
                <w:sz w:val="18"/>
                <w:szCs w:val="16"/>
              </w:rPr>
              <w:t>. реинвестированные средства, млн руб.</w:t>
            </w:r>
          </w:p>
        </w:tc>
        <w:tc>
          <w:tcPr>
            <w:tcW w:w="992" w:type="dxa"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449,57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1 408,88</w:t>
            </w:r>
          </w:p>
        </w:tc>
        <w:tc>
          <w:tcPr>
            <w:tcW w:w="993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1 920,01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3 232,11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4 027,93</w:t>
            </w:r>
          </w:p>
        </w:tc>
        <w:tc>
          <w:tcPr>
            <w:tcW w:w="992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4 920,21</w:t>
            </w:r>
          </w:p>
        </w:tc>
        <w:tc>
          <w:tcPr>
            <w:tcW w:w="993" w:type="dxa"/>
            <w:noWrap/>
            <w:vAlign w:val="center"/>
          </w:tcPr>
          <w:p w:rsidR="002209FC" w:rsidRPr="00A75F2B" w:rsidRDefault="002209FC" w:rsidP="002209FC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5 946,37</w:t>
            </w:r>
          </w:p>
        </w:tc>
      </w:tr>
    </w:tbl>
    <w:p w:rsidR="00BA1E48" w:rsidRPr="00A75F2B" w:rsidRDefault="00BA1E48" w:rsidP="002209FC">
      <w:pPr>
        <w:spacing w:after="120" w:line="360" w:lineRule="auto"/>
        <w:ind w:firstLine="709"/>
        <w:rPr>
          <w:szCs w:val="24"/>
        </w:rPr>
      </w:pPr>
      <w:r w:rsidRPr="00A75F2B">
        <w:rPr>
          <w:szCs w:val="24"/>
        </w:rPr>
        <w:t>Реализация предлагаемой меры не потребует выделения дополнительных средств из федерального бюджета Российской Федерации, однако повлечет</w:t>
      </w:r>
      <w:r w:rsidR="006F010C" w:rsidRPr="00A75F2B">
        <w:rPr>
          <w:szCs w:val="24"/>
        </w:rPr>
        <w:t xml:space="preserve"> </w:t>
      </w:r>
      <w:r w:rsidRPr="00A75F2B">
        <w:rPr>
          <w:szCs w:val="24"/>
        </w:rPr>
        <w:t xml:space="preserve">выпадающие доходы бюджета в первые </w:t>
      </w:r>
      <w:r w:rsidR="002209FC">
        <w:rPr>
          <w:szCs w:val="24"/>
        </w:rPr>
        <w:t>четыре</w:t>
      </w:r>
      <w:r w:rsidR="002209FC" w:rsidRPr="00A75F2B">
        <w:rPr>
          <w:szCs w:val="24"/>
        </w:rPr>
        <w:t xml:space="preserve"> </w:t>
      </w:r>
      <w:r w:rsidRPr="00A75F2B">
        <w:rPr>
          <w:szCs w:val="24"/>
        </w:rPr>
        <w:t>года предоставления вычета</w:t>
      </w:r>
      <w:r w:rsidR="00AD6952">
        <w:rPr>
          <w:szCs w:val="24"/>
        </w:rPr>
        <w:t xml:space="preserve"> </w:t>
      </w:r>
      <w:r w:rsidRPr="00A75F2B">
        <w:rPr>
          <w:szCs w:val="24"/>
        </w:rPr>
        <w:t>за счет уменьшения сумм НДФЛ, уплаченных</w:t>
      </w:r>
      <w:r w:rsidR="006F010C" w:rsidRPr="00A75F2B">
        <w:rPr>
          <w:szCs w:val="24"/>
        </w:rPr>
        <w:t xml:space="preserve"> </w:t>
      </w:r>
      <w:r w:rsidRPr="00A75F2B">
        <w:rPr>
          <w:szCs w:val="24"/>
        </w:rPr>
        <w:t>частными и</w:t>
      </w:r>
      <w:r w:rsidR="006F010C" w:rsidRPr="00A75F2B">
        <w:rPr>
          <w:szCs w:val="24"/>
        </w:rPr>
        <w:t>н</w:t>
      </w:r>
      <w:r w:rsidRPr="00A75F2B">
        <w:rPr>
          <w:szCs w:val="24"/>
        </w:rPr>
        <w:t>весторами. При этом, сумма выпадающего дохода  будет ежегодно сокращаться, а в дальнейшем негативный бюджетный эффект будет полностью компенсирован дополнительными налоговыми поступлениями от компаний, в которые были осуществлены инвестиции.</w:t>
      </w:r>
    </w:p>
    <w:p w:rsidR="00AD6952" w:rsidRDefault="00BA1E48" w:rsidP="00AD6952">
      <w:pPr>
        <w:spacing w:after="120" w:line="360" w:lineRule="auto"/>
        <w:ind w:firstLine="709"/>
        <w:rPr>
          <w:szCs w:val="24"/>
        </w:rPr>
      </w:pPr>
      <w:r w:rsidRPr="00A75F2B">
        <w:rPr>
          <w:szCs w:val="24"/>
        </w:rPr>
        <w:t>Анализ статистических сведений, предоставленных Фондом «</w:t>
      </w:r>
      <w:proofErr w:type="spellStart"/>
      <w:r w:rsidRPr="00A75F2B">
        <w:rPr>
          <w:szCs w:val="24"/>
        </w:rPr>
        <w:t>Сколково</w:t>
      </w:r>
      <w:proofErr w:type="spellEnd"/>
      <w:r w:rsidRPr="00A75F2B">
        <w:rPr>
          <w:szCs w:val="24"/>
        </w:rPr>
        <w:t xml:space="preserve">», позволил установить </w:t>
      </w:r>
      <w:r w:rsidR="009F3855" w:rsidRPr="00A75F2B">
        <w:rPr>
          <w:szCs w:val="24"/>
        </w:rPr>
        <w:t>корреляц</w:t>
      </w:r>
      <w:r w:rsidR="006F010C" w:rsidRPr="00A75F2B">
        <w:rPr>
          <w:szCs w:val="24"/>
        </w:rPr>
        <w:t>и</w:t>
      </w:r>
      <w:r w:rsidRPr="00A75F2B">
        <w:rPr>
          <w:szCs w:val="24"/>
        </w:rPr>
        <w:t>ю</w:t>
      </w:r>
      <w:r w:rsidR="006F010C" w:rsidRPr="00A75F2B">
        <w:rPr>
          <w:szCs w:val="24"/>
        </w:rPr>
        <w:t xml:space="preserve"> </w:t>
      </w:r>
      <w:r w:rsidRPr="00A75F2B">
        <w:rPr>
          <w:szCs w:val="24"/>
        </w:rPr>
        <w:t xml:space="preserve">между объемом вложенных частных инвестиций и развитием компаний: ростом выручки, численности сотрудников, увеличением </w:t>
      </w:r>
      <w:r w:rsidR="003734C8" w:rsidRPr="00A75F2B">
        <w:rPr>
          <w:szCs w:val="24"/>
        </w:rPr>
        <w:t xml:space="preserve">их </w:t>
      </w:r>
      <w:r w:rsidRPr="00A75F2B">
        <w:rPr>
          <w:szCs w:val="24"/>
        </w:rPr>
        <w:t>прибыли.</w:t>
      </w:r>
      <w:r w:rsidR="00AD6952">
        <w:rPr>
          <w:szCs w:val="24"/>
        </w:rPr>
        <w:t xml:space="preserve"> Так, согласно полученным данны</w:t>
      </w:r>
      <w:r w:rsidR="002B207F">
        <w:rPr>
          <w:szCs w:val="24"/>
        </w:rPr>
        <w:t>м</w:t>
      </w:r>
      <w:r w:rsidR="00AD6952">
        <w:rPr>
          <w:szCs w:val="24"/>
        </w:rPr>
        <w:t>, стоимость создания одного рабочего места в компаниях, получающих бизнес-ангельское финансирование</w:t>
      </w:r>
      <w:r w:rsidR="002B207F">
        <w:rPr>
          <w:szCs w:val="24"/>
        </w:rPr>
        <w:t>,</w:t>
      </w:r>
      <w:r w:rsidR="00AD6952">
        <w:rPr>
          <w:szCs w:val="24"/>
        </w:rPr>
        <w:t xml:space="preserve"> составляет около 3 млн рублей. В то же время средняя стоимость создания одного высокотехнологичного рабочего места в России по разным источникам составляет от 6 до 9 млн рублей. Таким образом, </w:t>
      </w:r>
      <w:r w:rsidR="002B207F">
        <w:rPr>
          <w:szCs w:val="24"/>
        </w:rPr>
        <w:t>представляется целесообразным  оказание</w:t>
      </w:r>
      <w:r w:rsidR="00AD6952">
        <w:rPr>
          <w:szCs w:val="24"/>
        </w:rPr>
        <w:t xml:space="preserve"> </w:t>
      </w:r>
      <w:r w:rsidR="002B207F">
        <w:rPr>
          <w:szCs w:val="24"/>
        </w:rPr>
        <w:t>государственной поддержки</w:t>
      </w:r>
      <w:r w:rsidR="00AD6952">
        <w:rPr>
          <w:szCs w:val="24"/>
        </w:rPr>
        <w:t xml:space="preserve"> бизнес-ангелам</w:t>
      </w:r>
      <w:r w:rsidR="002B207F">
        <w:rPr>
          <w:szCs w:val="24"/>
        </w:rPr>
        <w:t>,</w:t>
      </w:r>
      <w:r w:rsidR="00AD6952">
        <w:rPr>
          <w:szCs w:val="24"/>
        </w:rPr>
        <w:t xml:space="preserve"> в том числе с целью создания высокотехнологичных рабочих мест, </w:t>
      </w:r>
      <w:r w:rsidR="002B207F">
        <w:rPr>
          <w:szCs w:val="24"/>
        </w:rPr>
        <w:t>по сравнению с прямым государственным</w:t>
      </w:r>
      <w:r w:rsidR="00AD6952">
        <w:rPr>
          <w:szCs w:val="24"/>
        </w:rPr>
        <w:t xml:space="preserve"> финансирование</w:t>
      </w:r>
      <w:r w:rsidR="002B207F">
        <w:rPr>
          <w:szCs w:val="24"/>
        </w:rPr>
        <w:t>м</w:t>
      </w:r>
      <w:r w:rsidR="00AD6952">
        <w:rPr>
          <w:szCs w:val="24"/>
        </w:rPr>
        <w:t xml:space="preserve"> компаний. </w:t>
      </w:r>
    </w:p>
    <w:p w:rsidR="00BA1E48" w:rsidRPr="00A75F2B" w:rsidRDefault="00AD6952" w:rsidP="00AD6952">
      <w:pPr>
        <w:spacing w:after="120" w:line="360" w:lineRule="auto"/>
        <w:ind w:firstLine="709"/>
        <w:rPr>
          <w:szCs w:val="24"/>
        </w:rPr>
      </w:pPr>
      <w:r>
        <w:rPr>
          <w:szCs w:val="24"/>
        </w:rPr>
        <w:t xml:space="preserve"> </w:t>
      </w:r>
      <w:r w:rsidR="00BA1E48" w:rsidRPr="00A75F2B">
        <w:rPr>
          <w:szCs w:val="24"/>
        </w:rPr>
        <w:t xml:space="preserve">Установленные связи были </w:t>
      </w:r>
      <w:r w:rsidR="003734C8" w:rsidRPr="00A75F2B">
        <w:rPr>
          <w:szCs w:val="24"/>
        </w:rPr>
        <w:t xml:space="preserve">экстраполированы </w:t>
      </w:r>
      <w:r w:rsidR="00BA1E48" w:rsidRPr="00A75F2B">
        <w:rPr>
          <w:szCs w:val="24"/>
        </w:rPr>
        <w:t>на</w:t>
      </w:r>
      <w:r w:rsidR="006F010C" w:rsidRPr="00A75F2B">
        <w:rPr>
          <w:szCs w:val="24"/>
        </w:rPr>
        <w:t xml:space="preserve"> </w:t>
      </w:r>
      <w:r w:rsidR="00BA1E48" w:rsidRPr="00A75F2B">
        <w:rPr>
          <w:szCs w:val="24"/>
        </w:rPr>
        <w:t xml:space="preserve">высокотехнологичные компании на ранних стадиях развития, получающие поддержку от других институтов развития. Расчет влияния предлагаемых настоящим законопроектом мер на бюджет Российской Федерации приведен в Таблице </w:t>
      </w:r>
      <w:r w:rsidR="0022387B" w:rsidRPr="00A75F2B">
        <w:rPr>
          <w:szCs w:val="24"/>
        </w:rPr>
        <w:t>4</w:t>
      </w:r>
      <w:r w:rsidR="00BA1E48" w:rsidRPr="00A75F2B">
        <w:rPr>
          <w:szCs w:val="24"/>
        </w:rPr>
        <w:t>.</w:t>
      </w:r>
    </w:p>
    <w:p w:rsidR="00BA1E48" w:rsidRPr="00A75F2B" w:rsidRDefault="00BA1E48" w:rsidP="00BA1E48">
      <w:pPr>
        <w:pStyle w:val="Caption"/>
        <w:keepNext/>
        <w:rPr>
          <w:b w:val="0"/>
          <w:color w:val="auto"/>
          <w:sz w:val="28"/>
        </w:rPr>
      </w:pPr>
      <w:r w:rsidRPr="00A75F2B">
        <w:rPr>
          <w:b w:val="0"/>
          <w:color w:val="auto"/>
          <w:sz w:val="28"/>
        </w:rPr>
        <w:t xml:space="preserve">Таблица </w:t>
      </w:r>
      <w:r w:rsidRPr="00A75F2B">
        <w:rPr>
          <w:b w:val="0"/>
          <w:color w:val="auto"/>
          <w:sz w:val="28"/>
        </w:rPr>
        <w:fldChar w:fldCharType="begin"/>
      </w:r>
      <w:r w:rsidRPr="00A75F2B">
        <w:rPr>
          <w:b w:val="0"/>
          <w:color w:val="auto"/>
          <w:sz w:val="28"/>
        </w:rPr>
        <w:instrText xml:space="preserve"> SEQ Таблица \* ARABIC </w:instrText>
      </w:r>
      <w:r w:rsidRPr="00A75F2B">
        <w:rPr>
          <w:b w:val="0"/>
          <w:color w:val="auto"/>
          <w:sz w:val="28"/>
        </w:rPr>
        <w:fldChar w:fldCharType="separate"/>
      </w:r>
      <w:r w:rsidR="003257FF" w:rsidRPr="00A75F2B">
        <w:rPr>
          <w:b w:val="0"/>
          <w:noProof/>
          <w:color w:val="auto"/>
          <w:sz w:val="28"/>
        </w:rPr>
        <w:t>4</w:t>
      </w:r>
      <w:r w:rsidRPr="00A75F2B">
        <w:rPr>
          <w:b w:val="0"/>
          <w:color w:val="auto"/>
          <w:sz w:val="28"/>
        </w:rPr>
        <w:fldChar w:fldCharType="end"/>
      </w:r>
      <w:r w:rsidRPr="00A75F2B">
        <w:rPr>
          <w:b w:val="0"/>
          <w:color w:val="auto"/>
          <w:sz w:val="28"/>
        </w:rPr>
        <w:t>. Влияние предлагаемых мер на поступления в бюджеты Российской Федерации</w:t>
      </w:r>
      <w:r w:rsidR="0022387B" w:rsidRPr="00A75F2B">
        <w:rPr>
          <w:b w:val="0"/>
          <w:color w:val="auto"/>
          <w:sz w:val="28"/>
        </w:rPr>
        <w:t xml:space="preserve"> в случае </w:t>
      </w:r>
      <w:r w:rsidR="000A4CF1">
        <w:rPr>
          <w:b w:val="0"/>
          <w:color w:val="auto"/>
          <w:sz w:val="28"/>
        </w:rPr>
        <w:t xml:space="preserve">оптимистичного прогноза </w:t>
      </w:r>
      <w:r w:rsidR="0022387B" w:rsidRPr="00A75F2B">
        <w:rPr>
          <w:b w:val="0"/>
          <w:color w:val="auto"/>
          <w:sz w:val="28"/>
        </w:rPr>
        <w:t>роста числа бизнес-ангелов</w:t>
      </w:r>
    </w:p>
    <w:tbl>
      <w:tblPr>
        <w:tblStyle w:val="TableGrid"/>
        <w:tblW w:w="8891" w:type="dxa"/>
        <w:tblLayout w:type="fixed"/>
        <w:tblLook w:val="04A0" w:firstRow="1" w:lastRow="0" w:firstColumn="1" w:lastColumn="0" w:noHBand="0" w:noVBand="1"/>
      </w:tblPr>
      <w:tblGrid>
        <w:gridCol w:w="1668"/>
        <w:gridCol w:w="1032"/>
        <w:gridCol w:w="1032"/>
        <w:gridCol w:w="1032"/>
        <w:gridCol w:w="1031"/>
        <w:gridCol w:w="1032"/>
        <w:gridCol w:w="1032"/>
        <w:gridCol w:w="1032"/>
      </w:tblGrid>
      <w:tr w:rsidR="00A75F2B" w:rsidRPr="00A75F2B" w:rsidTr="00A75F2B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Показатели</w:t>
            </w:r>
          </w:p>
        </w:tc>
        <w:tc>
          <w:tcPr>
            <w:tcW w:w="1032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1032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2020</w:t>
            </w:r>
          </w:p>
        </w:tc>
        <w:tc>
          <w:tcPr>
            <w:tcW w:w="1032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2021</w:t>
            </w:r>
          </w:p>
        </w:tc>
        <w:tc>
          <w:tcPr>
            <w:tcW w:w="1031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2022</w:t>
            </w:r>
          </w:p>
        </w:tc>
        <w:tc>
          <w:tcPr>
            <w:tcW w:w="1032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2023</w:t>
            </w:r>
          </w:p>
        </w:tc>
        <w:tc>
          <w:tcPr>
            <w:tcW w:w="1032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2024</w:t>
            </w:r>
          </w:p>
        </w:tc>
        <w:tc>
          <w:tcPr>
            <w:tcW w:w="1032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2025</w:t>
            </w:r>
          </w:p>
        </w:tc>
      </w:tr>
      <w:tr w:rsidR="00AD6952" w:rsidRPr="00A75F2B" w:rsidTr="00171138">
        <w:trPr>
          <w:trHeight w:val="300"/>
        </w:trPr>
        <w:tc>
          <w:tcPr>
            <w:tcW w:w="1668" w:type="dxa"/>
            <w:noWrap/>
            <w:hideMark/>
          </w:tcPr>
          <w:p w:rsidR="00AD6952" w:rsidRPr="00A75F2B" w:rsidRDefault="00AD6952" w:rsidP="00230175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Рабочие места накопительным итогом, шт.</w:t>
            </w:r>
          </w:p>
        </w:tc>
        <w:tc>
          <w:tcPr>
            <w:tcW w:w="1032" w:type="dxa"/>
            <w:noWrap/>
            <w:vAlign w:val="center"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328   </w:t>
            </w:r>
          </w:p>
        </w:tc>
        <w:tc>
          <w:tcPr>
            <w:tcW w:w="1032" w:type="dxa"/>
            <w:noWrap/>
            <w:vAlign w:val="center"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1 373   </w:t>
            </w:r>
          </w:p>
        </w:tc>
        <w:tc>
          <w:tcPr>
            <w:tcW w:w="1032" w:type="dxa"/>
            <w:noWrap/>
            <w:vAlign w:val="center"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3 293   </w:t>
            </w:r>
          </w:p>
        </w:tc>
        <w:tc>
          <w:tcPr>
            <w:tcW w:w="1031" w:type="dxa"/>
            <w:noWrap/>
            <w:vAlign w:val="center"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6 007   </w:t>
            </w:r>
          </w:p>
        </w:tc>
        <w:tc>
          <w:tcPr>
            <w:tcW w:w="1032" w:type="dxa"/>
            <w:noWrap/>
            <w:vAlign w:val="center"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9 187   </w:t>
            </w:r>
          </w:p>
        </w:tc>
        <w:tc>
          <w:tcPr>
            <w:tcW w:w="1032" w:type="dxa"/>
            <w:noWrap/>
            <w:vAlign w:val="center"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13 146   </w:t>
            </w:r>
          </w:p>
        </w:tc>
        <w:tc>
          <w:tcPr>
            <w:tcW w:w="1032" w:type="dxa"/>
            <w:noWrap/>
            <w:vAlign w:val="center"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17 975   </w:t>
            </w:r>
          </w:p>
        </w:tc>
      </w:tr>
      <w:tr w:rsidR="00AD6952" w:rsidRPr="00A75F2B" w:rsidTr="00171138">
        <w:trPr>
          <w:trHeight w:val="300"/>
        </w:trPr>
        <w:tc>
          <w:tcPr>
            <w:tcW w:w="1668" w:type="dxa"/>
            <w:noWrap/>
            <w:hideMark/>
          </w:tcPr>
          <w:p w:rsidR="00AD6952" w:rsidRPr="00A75F2B" w:rsidRDefault="00AD6952" w:rsidP="00171138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НДФЛ, млн руб.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39,36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164,74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395,12   </w:t>
            </w:r>
          </w:p>
        </w:tc>
        <w:tc>
          <w:tcPr>
            <w:tcW w:w="1031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720,76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1 102,32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1 577,35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2 156,77   </w:t>
            </w:r>
          </w:p>
        </w:tc>
      </w:tr>
      <w:tr w:rsidR="00AD6952" w:rsidRPr="00A75F2B" w:rsidTr="00171138">
        <w:trPr>
          <w:trHeight w:val="300"/>
        </w:trPr>
        <w:tc>
          <w:tcPr>
            <w:tcW w:w="1668" w:type="dxa"/>
            <w:noWrap/>
            <w:hideMark/>
          </w:tcPr>
          <w:p w:rsidR="00AD6952" w:rsidRPr="00A75F2B" w:rsidRDefault="00AD6952" w:rsidP="00230175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Страховые взносы, млн руб.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62,56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261,88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628,10   </w:t>
            </w:r>
          </w:p>
        </w:tc>
        <w:tc>
          <w:tcPr>
            <w:tcW w:w="1031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1 145,77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1 752,32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2 507,45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3 428,53   </w:t>
            </w:r>
          </w:p>
        </w:tc>
      </w:tr>
      <w:tr w:rsidR="00AD6952" w:rsidRPr="00A75F2B" w:rsidTr="00171138">
        <w:trPr>
          <w:trHeight w:val="300"/>
        </w:trPr>
        <w:tc>
          <w:tcPr>
            <w:tcW w:w="1668" w:type="dxa"/>
            <w:noWrap/>
            <w:hideMark/>
          </w:tcPr>
          <w:p w:rsidR="00AD6952" w:rsidRPr="00A75F2B" w:rsidRDefault="00AD6952" w:rsidP="00230175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ВВП, млн руб.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505,03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2 115,20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5 073,01   </w:t>
            </w:r>
          </w:p>
        </w:tc>
        <w:tc>
          <w:tcPr>
            <w:tcW w:w="1031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9 253,08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14 151,69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20 250,14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27 688,47   </w:t>
            </w:r>
          </w:p>
        </w:tc>
      </w:tr>
      <w:tr w:rsidR="00AD6952" w:rsidRPr="00A75F2B" w:rsidTr="00171138">
        <w:trPr>
          <w:trHeight w:val="300"/>
        </w:trPr>
        <w:tc>
          <w:tcPr>
            <w:tcW w:w="1668" w:type="dxa"/>
            <w:noWrap/>
            <w:hideMark/>
          </w:tcPr>
          <w:p w:rsidR="00AD6952" w:rsidRPr="00A75F2B" w:rsidRDefault="00AD6952" w:rsidP="00230175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Налог при УСН, млн руб.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30,30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126,91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304,38   </w:t>
            </w:r>
          </w:p>
        </w:tc>
        <w:tc>
          <w:tcPr>
            <w:tcW w:w="1031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555,18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849,10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1 215,01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1 661,31   </w:t>
            </w:r>
          </w:p>
        </w:tc>
      </w:tr>
      <w:tr w:rsidR="00AD6952" w:rsidRPr="00A75F2B" w:rsidTr="00171138">
        <w:trPr>
          <w:trHeight w:val="300"/>
        </w:trPr>
        <w:tc>
          <w:tcPr>
            <w:tcW w:w="1668" w:type="dxa"/>
            <w:noWrap/>
          </w:tcPr>
          <w:p w:rsidR="00AD6952" w:rsidRPr="00A75F2B" w:rsidRDefault="00AD6952" w:rsidP="00230175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Итого поступления, млн руб.</w:t>
            </w:r>
          </w:p>
        </w:tc>
        <w:tc>
          <w:tcPr>
            <w:tcW w:w="1032" w:type="dxa"/>
            <w:noWrap/>
            <w:vAlign w:val="center"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132,220   </w:t>
            </w:r>
          </w:p>
        </w:tc>
        <w:tc>
          <w:tcPr>
            <w:tcW w:w="1032" w:type="dxa"/>
            <w:noWrap/>
            <w:vAlign w:val="center"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553,539   </w:t>
            </w:r>
          </w:p>
        </w:tc>
        <w:tc>
          <w:tcPr>
            <w:tcW w:w="1032" w:type="dxa"/>
            <w:noWrap/>
            <w:vAlign w:val="center"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1 327,602   </w:t>
            </w:r>
          </w:p>
        </w:tc>
        <w:tc>
          <w:tcPr>
            <w:tcW w:w="1031" w:type="dxa"/>
            <w:noWrap/>
            <w:vAlign w:val="center"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2 421,718   </w:t>
            </w:r>
          </w:p>
        </w:tc>
        <w:tc>
          <w:tcPr>
            <w:tcW w:w="1032" w:type="dxa"/>
            <w:noWrap/>
            <w:vAlign w:val="center"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3 703,745   </w:t>
            </w:r>
          </w:p>
        </w:tc>
        <w:tc>
          <w:tcPr>
            <w:tcW w:w="1032" w:type="dxa"/>
            <w:noWrap/>
            <w:vAlign w:val="center"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5 299,818   </w:t>
            </w:r>
          </w:p>
        </w:tc>
        <w:tc>
          <w:tcPr>
            <w:tcW w:w="1032" w:type="dxa"/>
            <w:noWrap/>
            <w:vAlign w:val="center"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7 246,615   </w:t>
            </w:r>
          </w:p>
        </w:tc>
      </w:tr>
      <w:tr w:rsidR="00AD6952" w:rsidRPr="00A75F2B" w:rsidTr="00171138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AD6952" w:rsidRPr="00A75F2B" w:rsidRDefault="00AD6952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Выпадающие доходы  в результате возврата части НДФЛ инвесторов, млн руб.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6F43F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 </w:t>
            </w:r>
            <w:r w:rsidR="00AD6952" w:rsidRPr="00171138">
              <w:rPr>
                <w:color w:val="000000"/>
                <w:sz w:val="18"/>
                <w:szCs w:val="16"/>
              </w:rPr>
              <w:t xml:space="preserve">112,192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-1 445,849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6F43F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-2</w:t>
            </w:r>
            <w:r w:rsidR="00AD6952" w:rsidRPr="00171138">
              <w:rPr>
                <w:color w:val="000000"/>
                <w:sz w:val="18"/>
                <w:szCs w:val="16"/>
              </w:rPr>
              <w:t xml:space="preserve"> 023,130   </w:t>
            </w:r>
          </w:p>
        </w:tc>
        <w:tc>
          <w:tcPr>
            <w:tcW w:w="1031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-2 428,285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-2 671,908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-2 939,364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6F43F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6F43F2">
              <w:rPr>
                <w:color w:val="000000"/>
                <w:sz w:val="18"/>
                <w:szCs w:val="16"/>
              </w:rPr>
              <w:t>-</w:t>
            </w:r>
            <w:r w:rsidR="00AD6952" w:rsidRPr="00171138">
              <w:rPr>
                <w:color w:val="000000"/>
                <w:sz w:val="18"/>
                <w:szCs w:val="16"/>
              </w:rPr>
              <w:t xml:space="preserve">3 233,301   </w:t>
            </w:r>
          </w:p>
        </w:tc>
      </w:tr>
      <w:tr w:rsidR="00AD6952" w:rsidRPr="00A75F2B" w:rsidTr="00171138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AD6952" w:rsidRPr="00A75F2B" w:rsidRDefault="00AD6952" w:rsidP="00AD6952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D6952">
              <w:rPr>
                <w:color w:val="000000"/>
                <w:sz w:val="18"/>
                <w:szCs w:val="16"/>
              </w:rPr>
              <w:t xml:space="preserve">Выпадающий доход от </w:t>
            </w:r>
            <w:r>
              <w:rPr>
                <w:color w:val="000000"/>
                <w:sz w:val="18"/>
                <w:szCs w:val="16"/>
              </w:rPr>
              <w:t>освобождения от НДФЛ инвестиционного дохода</w:t>
            </w:r>
            <w:r w:rsidR="006F43F2">
              <w:rPr>
                <w:color w:val="000000"/>
                <w:sz w:val="18"/>
                <w:szCs w:val="16"/>
              </w:rPr>
              <w:t xml:space="preserve">, </w:t>
            </w:r>
            <w:r w:rsidR="006F43F2" w:rsidRPr="00A75F2B">
              <w:rPr>
                <w:color w:val="000000"/>
                <w:sz w:val="18"/>
                <w:szCs w:val="16"/>
              </w:rPr>
              <w:t>млн руб.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6F43F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-</w:t>
            </w:r>
            <w:r w:rsidR="00AD6952" w:rsidRPr="00171138">
              <w:rPr>
                <w:color w:val="000000"/>
                <w:sz w:val="18"/>
                <w:szCs w:val="16"/>
              </w:rPr>
              <w:t xml:space="preserve">42,575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-85,149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6F43F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-</w:t>
            </w:r>
            <w:r w:rsidR="00AD6952" w:rsidRPr="00171138">
              <w:rPr>
                <w:color w:val="000000"/>
                <w:sz w:val="18"/>
                <w:szCs w:val="16"/>
              </w:rPr>
              <w:t xml:space="preserve">151,583   </w:t>
            </w:r>
          </w:p>
        </w:tc>
        <w:tc>
          <w:tcPr>
            <w:tcW w:w="1031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-156,726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6F43F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-</w:t>
            </w:r>
            <w:r w:rsidR="00AD6952" w:rsidRPr="00171138">
              <w:rPr>
                <w:color w:val="000000"/>
                <w:sz w:val="18"/>
                <w:szCs w:val="16"/>
              </w:rPr>
              <w:t xml:space="preserve">167,167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-184,348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A75F2B" w:rsidRDefault="00AD6952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- 208,023   </w:t>
            </w:r>
          </w:p>
        </w:tc>
      </w:tr>
      <w:tr w:rsidR="00067B21" w:rsidRPr="00A75F2B" w:rsidTr="00171138">
        <w:trPr>
          <w:trHeight w:val="300"/>
        </w:trPr>
        <w:tc>
          <w:tcPr>
            <w:tcW w:w="1668" w:type="dxa"/>
            <w:noWrap/>
            <w:vAlign w:val="center"/>
          </w:tcPr>
          <w:p w:rsidR="00067B21" w:rsidRPr="00A75F2B" w:rsidRDefault="00067B21" w:rsidP="00067B21">
            <w:pPr>
              <w:ind w:firstLine="0"/>
              <w:jc w:val="left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 xml:space="preserve">Итого </w:t>
            </w:r>
            <w:r>
              <w:rPr>
                <w:color w:val="000000"/>
                <w:sz w:val="18"/>
                <w:szCs w:val="16"/>
              </w:rPr>
              <w:t>выпадающие доходы,</w:t>
            </w:r>
            <w:r w:rsidRPr="00A75F2B">
              <w:rPr>
                <w:color w:val="000000"/>
                <w:sz w:val="18"/>
                <w:szCs w:val="16"/>
              </w:rPr>
              <w:t xml:space="preserve"> млн руб.</w:t>
            </w:r>
          </w:p>
        </w:tc>
        <w:tc>
          <w:tcPr>
            <w:tcW w:w="1032" w:type="dxa"/>
            <w:noWrap/>
            <w:vAlign w:val="bottom"/>
          </w:tcPr>
          <w:p w:rsidR="00067B21" w:rsidRPr="00067B21" w:rsidRDefault="00067B21" w:rsidP="006F43F2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-1 154,767   </w:t>
            </w:r>
          </w:p>
        </w:tc>
        <w:tc>
          <w:tcPr>
            <w:tcW w:w="1032" w:type="dxa"/>
            <w:noWrap/>
            <w:vAlign w:val="bottom"/>
          </w:tcPr>
          <w:p w:rsidR="00067B21" w:rsidRPr="00067B21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-1 530,999   </w:t>
            </w:r>
          </w:p>
        </w:tc>
        <w:tc>
          <w:tcPr>
            <w:tcW w:w="1032" w:type="dxa"/>
            <w:noWrap/>
            <w:vAlign w:val="bottom"/>
          </w:tcPr>
          <w:p w:rsidR="00067B21" w:rsidRPr="00067B21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-2 174,713   </w:t>
            </w:r>
          </w:p>
        </w:tc>
        <w:tc>
          <w:tcPr>
            <w:tcW w:w="1031" w:type="dxa"/>
            <w:noWrap/>
            <w:vAlign w:val="bottom"/>
          </w:tcPr>
          <w:p w:rsidR="00067B21" w:rsidRPr="00067B21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-2 585,011   </w:t>
            </w:r>
          </w:p>
        </w:tc>
        <w:tc>
          <w:tcPr>
            <w:tcW w:w="1032" w:type="dxa"/>
            <w:noWrap/>
            <w:vAlign w:val="bottom"/>
          </w:tcPr>
          <w:p w:rsidR="00067B21" w:rsidRPr="00067B21" w:rsidRDefault="00067B21" w:rsidP="00171138">
            <w:pPr>
              <w:ind w:firstLine="0"/>
              <w:rPr>
                <w:color w:val="000000"/>
                <w:sz w:val="18"/>
                <w:szCs w:val="16"/>
              </w:rPr>
            </w:pPr>
            <w:r w:rsidRPr="0017113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-2 839,076   </w:t>
            </w:r>
          </w:p>
        </w:tc>
        <w:tc>
          <w:tcPr>
            <w:tcW w:w="1032" w:type="dxa"/>
            <w:noWrap/>
            <w:vAlign w:val="bottom"/>
          </w:tcPr>
          <w:p w:rsidR="00067B21" w:rsidRPr="00171138" w:rsidRDefault="00067B21" w:rsidP="00171138">
            <w:pPr>
              <w:ind w:firstLine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7113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-3 123,712   </w:t>
            </w:r>
          </w:p>
        </w:tc>
        <w:tc>
          <w:tcPr>
            <w:tcW w:w="1032" w:type="dxa"/>
            <w:noWrap/>
            <w:vAlign w:val="bottom"/>
          </w:tcPr>
          <w:p w:rsidR="00067B21" w:rsidRPr="00067B21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-3 441,324   </w:t>
            </w:r>
          </w:p>
        </w:tc>
      </w:tr>
      <w:tr w:rsidR="00AD6952" w:rsidRPr="00A75F2B" w:rsidTr="00171138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AD6952" w:rsidRPr="00A75F2B" w:rsidRDefault="00AD6952" w:rsidP="00AD6952">
            <w:pPr>
              <w:ind w:firstLine="0"/>
              <w:jc w:val="left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Итого бюджетный эффект, млн руб.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171138" w:rsidRDefault="006F43F2" w:rsidP="006F43F2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171138">
              <w:rPr>
                <w:b/>
                <w:color w:val="000000"/>
                <w:sz w:val="18"/>
                <w:szCs w:val="16"/>
              </w:rPr>
              <w:t>-</w:t>
            </w:r>
            <w:r w:rsidR="00AD6952" w:rsidRPr="00171138">
              <w:rPr>
                <w:b/>
                <w:color w:val="000000"/>
                <w:sz w:val="18"/>
                <w:szCs w:val="16"/>
              </w:rPr>
              <w:t xml:space="preserve">1 022,547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171138" w:rsidRDefault="006F43F2" w:rsidP="006F43F2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171138">
              <w:rPr>
                <w:b/>
                <w:color w:val="000000"/>
                <w:sz w:val="18"/>
                <w:szCs w:val="16"/>
              </w:rPr>
              <w:t>-</w:t>
            </w:r>
            <w:r w:rsidR="00AD6952" w:rsidRPr="00171138">
              <w:rPr>
                <w:b/>
                <w:color w:val="000000"/>
                <w:sz w:val="18"/>
                <w:szCs w:val="16"/>
              </w:rPr>
              <w:t xml:space="preserve">977,460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171138" w:rsidRDefault="006F43F2" w:rsidP="006F43F2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171138">
              <w:rPr>
                <w:b/>
                <w:color w:val="000000"/>
                <w:sz w:val="18"/>
                <w:szCs w:val="16"/>
              </w:rPr>
              <w:t>-</w:t>
            </w:r>
            <w:r w:rsidR="00AD6952" w:rsidRPr="00171138">
              <w:rPr>
                <w:b/>
                <w:color w:val="000000"/>
                <w:sz w:val="18"/>
                <w:szCs w:val="16"/>
              </w:rPr>
              <w:t xml:space="preserve">847,110   </w:t>
            </w:r>
          </w:p>
        </w:tc>
        <w:tc>
          <w:tcPr>
            <w:tcW w:w="1031" w:type="dxa"/>
            <w:noWrap/>
            <w:vAlign w:val="center"/>
            <w:hideMark/>
          </w:tcPr>
          <w:p w:rsidR="00AD6952" w:rsidRPr="00171138" w:rsidRDefault="00AD6952" w:rsidP="006F43F2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171138">
              <w:rPr>
                <w:b/>
                <w:color w:val="000000"/>
                <w:sz w:val="18"/>
                <w:szCs w:val="16"/>
              </w:rPr>
              <w:t xml:space="preserve">-163,293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171138" w:rsidRDefault="00AD6952" w:rsidP="006F43F2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171138">
              <w:rPr>
                <w:b/>
                <w:color w:val="000000"/>
                <w:sz w:val="18"/>
                <w:szCs w:val="16"/>
              </w:rPr>
              <w:t xml:space="preserve">864,669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171138" w:rsidRDefault="006F43F2" w:rsidP="006F43F2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171138">
              <w:rPr>
                <w:b/>
                <w:color w:val="000000"/>
                <w:sz w:val="18"/>
                <w:szCs w:val="16"/>
              </w:rPr>
              <w:t>2</w:t>
            </w:r>
            <w:r w:rsidR="00AD6952" w:rsidRPr="00171138">
              <w:rPr>
                <w:b/>
                <w:color w:val="000000"/>
                <w:sz w:val="18"/>
                <w:szCs w:val="16"/>
              </w:rPr>
              <w:t xml:space="preserve"> 176,106   </w:t>
            </w:r>
          </w:p>
        </w:tc>
        <w:tc>
          <w:tcPr>
            <w:tcW w:w="1032" w:type="dxa"/>
            <w:noWrap/>
            <w:vAlign w:val="center"/>
            <w:hideMark/>
          </w:tcPr>
          <w:p w:rsidR="00AD6952" w:rsidRPr="00171138" w:rsidRDefault="00AD6952" w:rsidP="006F43F2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171138">
              <w:rPr>
                <w:b/>
                <w:color w:val="000000"/>
                <w:sz w:val="18"/>
                <w:szCs w:val="16"/>
              </w:rPr>
              <w:t xml:space="preserve">3 805,292   </w:t>
            </w:r>
          </w:p>
        </w:tc>
      </w:tr>
    </w:tbl>
    <w:p w:rsidR="00E9279D" w:rsidRPr="00A75F2B" w:rsidRDefault="00E9279D" w:rsidP="00E9279D">
      <w:pPr>
        <w:spacing w:after="120" w:line="360" w:lineRule="auto"/>
        <w:ind w:firstLine="709"/>
        <w:rPr>
          <w:szCs w:val="24"/>
        </w:rPr>
      </w:pPr>
      <w:r w:rsidRPr="00A75F2B">
        <w:rPr>
          <w:szCs w:val="24"/>
        </w:rPr>
        <w:t xml:space="preserve">В Таблице 5 приведен анализ воздействия предлагаемых мер на бюджет Российской Федерации в случае </w:t>
      </w:r>
      <w:r w:rsidR="006F43F2">
        <w:rPr>
          <w:szCs w:val="24"/>
        </w:rPr>
        <w:t xml:space="preserve">более консервативного прогноза </w:t>
      </w:r>
      <w:r w:rsidRPr="00A75F2B">
        <w:rPr>
          <w:szCs w:val="24"/>
        </w:rPr>
        <w:t xml:space="preserve">роста числа </w:t>
      </w:r>
      <w:r w:rsidR="006F43F2">
        <w:rPr>
          <w:szCs w:val="24"/>
        </w:rPr>
        <w:t xml:space="preserve">активных </w:t>
      </w:r>
      <w:r w:rsidRPr="00A75F2B">
        <w:rPr>
          <w:szCs w:val="24"/>
        </w:rPr>
        <w:t>бизнес-ангелов.</w:t>
      </w:r>
    </w:p>
    <w:p w:rsidR="003257FF" w:rsidRPr="00A75F2B" w:rsidRDefault="003257FF" w:rsidP="00A75F2B">
      <w:pPr>
        <w:pStyle w:val="Caption"/>
        <w:keepNext/>
        <w:spacing w:before="240"/>
        <w:rPr>
          <w:sz w:val="20"/>
        </w:rPr>
      </w:pPr>
      <w:r w:rsidRPr="00A75F2B">
        <w:rPr>
          <w:b w:val="0"/>
          <w:color w:val="auto"/>
          <w:sz w:val="28"/>
        </w:rPr>
        <w:t xml:space="preserve">Таблица </w:t>
      </w:r>
      <w:r w:rsidRPr="00A75F2B">
        <w:rPr>
          <w:b w:val="0"/>
          <w:color w:val="auto"/>
          <w:sz w:val="28"/>
        </w:rPr>
        <w:fldChar w:fldCharType="begin"/>
      </w:r>
      <w:r w:rsidRPr="00A75F2B">
        <w:rPr>
          <w:b w:val="0"/>
          <w:color w:val="auto"/>
          <w:sz w:val="28"/>
        </w:rPr>
        <w:instrText xml:space="preserve"> SEQ Таблица \* ARABIC </w:instrText>
      </w:r>
      <w:r w:rsidRPr="00A75F2B">
        <w:rPr>
          <w:b w:val="0"/>
          <w:color w:val="auto"/>
          <w:sz w:val="28"/>
        </w:rPr>
        <w:fldChar w:fldCharType="separate"/>
      </w:r>
      <w:r w:rsidRPr="00A75F2B">
        <w:rPr>
          <w:b w:val="0"/>
          <w:color w:val="auto"/>
          <w:sz w:val="28"/>
        </w:rPr>
        <w:t>5</w:t>
      </w:r>
      <w:r w:rsidRPr="00A75F2B">
        <w:rPr>
          <w:b w:val="0"/>
          <w:color w:val="auto"/>
          <w:sz w:val="28"/>
        </w:rPr>
        <w:fldChar w:fldCharType="end"/>
      </w:r>
      <w:r w:rsidRPr="00A75F2B">
        <w:rPr>
          <w:b w:val="0"/>
          <w:color w:val="auto"/>
          <w:sz w:val="28"/>
        </w:rPr>
        <w:t xml:space="preserve">. Влияние предлагаемых мер на поступления в бюджеты Российской Федерации в случае </w:t>
      </w:r>
      <w:r w:rsidR="000A4CF1">
        <w:rPr>
          <w:b w:val="0"/>
          <w:color w:val="auto"/>
          <w:sz w:val="28"/>
        </w:rPr>
        <w:t xml:space="preserve">консервативного прогноза </w:t>
      </w:r>
      <w:r w:rsidRPr="00A75F2B">
        <w:rPr>
          <w:b w:val="0"/>
          <w:color w:val="auto"/>
          <w:sz w:val="28"/>
        </w:rPr>
        <w:t>роста числа бизнес-ангелов</w:t>
      </w:r>
    </w:p>
    <w:tbl>
      <w:tblPr>
        <w:tblStyle w:val="TableGrid"/>
        <w:tblW w:w="8891" w:type="dxa"/>
        <w:tblLayout w:type="fixed"/>
        <w:tblLook w:val="04A0" w:firstRow="1" w:lastRow="0" w:firstColumn="1" w:lastColumn="0" w:noHBand="0" w:noVBand="1"/>
      </w:tblPr>
      <w:tblGrid>
        <w:gridCol w:w="1668"/>
        <w:gridCol w:w="1032"/>
        <w:gridCol w:w="1032"/>
        <w:gridCol w:w="1032"/>
        <w:gridCol w:w="1031"/>
        <w:gridCol w:w="1032"/>
        <w:gridCol w:w="1032"/>
        <w:gridCol w:w="1032"/>
      </w:tblGrid>
      <w:tr w:rsidR="00A75F2B" w:rsidRPr="00A75F2B" w:rsidTr="00A75F2B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Показатели</w:t>
            </w:r>
          </w:p>
        </w:tc>
        <w:tc>
          <w:tcPr>
            <w:tcW w:w="1032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1032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2020</w:t>
            </w:r>
          </w:p>
        </w:tc>
        <w:tc>
          <w:tcPr>
            <w:tcW w:w="1032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2021</w:t>
            </w:r>
          </w:p>
        </w:tc>
        <w:tc>
          <w:tcPr>
            <w:tcW w:w="1031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2022</w:t>
            </w:r>
          </w:p>
        </w:tc>
        <w:tc>
          <w:tcPr>
            <w:tcW w:w="1032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2023</w:t>
            </w:r>
          </w:p>
        </w:tc>
        <w:tc>
          <w:tcPr>
            <w:tcW w:w="1032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2024</w:t>
            </w:r>
          </w:p>
        </w:tc>
        <w:tc>
          <w:tcPr>
            <w:tcW w:w="1032" w:type="dxa"/>
            <w:noWrap/>
            <w:vAlign w:val="center"/>
            <w:hideMark/>
          </w:tcPr>
          <w:p w:rsidR="00A75F2B" w:rsidRPr="00A75F2B" w:rsidRDefault="00A75F2B" w:rsidP="00A75F2B">
            <w:pPr>
              <w:ind w:firstLine="0"/>
              <w:jc w:val="center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2025</w:t>
            </w:r>
          </w:p>
        </w:tc>
      </w:tr>
      <w:tr w:rsidR="006F43F2" w:rsidRPr="00A75F2B" w:rsidTr="00171138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6F43F2" w:rsidRPr="00A75F2B" w:rsidRDefault="006F43F2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Рабочие места накопительным итогом, шт.</w:t>
            </w:r>
          </w:p>
        </w:tc>
        <w:tc>
          <w:tcPr>
            <w:tcW w:w="1032" w:type="dxa"/>
            <w:noWrap/>
            <w:vAlign w:val="center"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202   </w:t>
            </w:r>
          </w:p>
        </w:tc>
        <w:tc>
          <w:tcPr>
            <w:tcW w:w="1032" w:type="dxa"/>
            <w:noWrap/>
            <w:vAlign w:val="center"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929   </w:t>
            </w:r>
          </w:p>
        </w:tc>
        <w:tc>
          <w:tcPr>
            <w:tcW w:w="1032" w:type="dxa"/>
            <w:noWrap/>
            <w:vAlign w:val="center"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2 211   </w:t>
            </w:r>
          </w:p>
        </w:tc>
        <w:tc>
          <w:tcPr>
            <w:tcW w:w="1031" w:type="dxa"/>
            <w:noWrap/>
            <w:vAlign w:val="center"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3 877   </w:t>
            </w:r>
          </w:p>
        </w:tc>
        <w:tc>
          <w:tcPr>
            <w:tcW w:w="1032" w:type="dxa"/>
            <w:noWrap/>
            <w:vAlign w:val="center"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5 684   </w:t>
            </w:r>
          </w:p>
        </w:tc>
        <w:tc>
          <w:tcPr>
            <w:tcW w:w="1032" w:type="dxa"/>
            <w:noWrap/>
            <w:vAlign w:val="center"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7 872   </w:t>
            </w:r>
          </w:p>
        </w:tc>
        <w:tc>
          <w:tcPr>
            <w:tcW w:w="1032" w:type="dxa"/>
            <w:noWrap/>
            <w:vAlign w:val="center"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10 465   </w:t>
            </w:r>
          </w:p>
        </w:tc>
      </w:tr>
      <w:tr w:rsidR="006F43F2" w:rsidRPr="00A75F2B" w:rsidTr="00171138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6F43F2" w:rsidRPr="00A75F2B" w:rsidRDefault="006F43F2" w:rsidP="00171138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НДФЛ, млн руб.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24,24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111,47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265,29   </w:t>
            </w:r>
          </w:p>
        </w:tc>
        <w:tc>
          <w:tcPr>
            <w:tcW w:w="1031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465,19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682,01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944,54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1 255,67   </w:t>
            </w:r>
          </w:p>
        </w:tc>
      </w:tr>
      <w:tr w:rsidR="006F43F2" w:rsidRPr="00A75F2B" w:rsidTr="00171138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6F43F2" w:rsidRPr="00A75F2B" w:rsidRDefault="006F43F2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Страховые взносы, млн руб.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38,53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177,20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421,72   </w:t>
            </w:r>
          </w:p>
        </w:tc>
        <w:tc>
          <w:tcPr>
            <w:tcW w:w="1031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739,50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1 084,16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1 501,50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1 996,08   </w:t>
            </w:r>
          </w:p>
        </w:tc>
      </w:tr>
      <w:tr w:rsidR="006F43F2" w:rsidRPr="00A75F2B" w:rsidTr="00171138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6F43F2" w:rsidRPr="00A75F2B" w:rsidRDefault="006F43F2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ВВП, млн руб.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311,09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1 431,64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3 406,00   </w:t>
            </w:r>
          </w:p>
        </w:tc>
        <w:tc>
          <w:tcPr>
            <w:tcW w:w="1031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5 972,47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8 756,37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12 127,18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16 121,11   </w:t>
            </w:r>
          </w:p>
        </w:tc>
      </w:tr>
      <w:tr w:rsidR="006F43F2" w:rsidRPr="00A75F2B" w:rsidTr="00171138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6F43F2" w:rsidRPr="00A75F2B" w:rsidRDefault="006F43F2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Налог при УСН, млн руб.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18,67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85,90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204,36   </w:t>
            </w:r>
          </w:p>
        </w:tc>
        <w:tc>
          <w:tcPr>
            <w:tcW w:w="1031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358,35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525,38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727,63   </w:t>
            </w:r>
          </w:p>
        </w:tc>
        <w:tc>
          <w:tcPr>
            <w:tcW w:w="1032" w:type="dxa"/>
            <w:noWrap/>
            <w:vAlign w:val="center"/>
            <w:hideMark/>
          </w:tcPr>
          <w:p w:rsidR="006F43F2" w:rsidRPr="00A75F2B" w:rsidRDefault="006F43F2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967,27   </w:t>
            </w:r>
          </w:p>
        </w:tc>
      </w:tr>
      <w:tr w:rsidR="00067B21" w:rsidRPr="00A75F2B" w:rsidTr="00171138">
        <w:trPr>
          <w:trHeight w:val="300"/>
        </w:trPr>
        <w:tc>
          <w:tcPr>
            <w:tcW w:w="1668" w:type="dxa"/>
            <w:noWrap/>
            <w:vAlign w:val="center"/>
          </w:tcPr>
          <w:p w:rsidR="00067B21" w:rsidRPr="00A75F2B" w:rsidRDefault="00067B21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Итого поступления, млн руб.</w:t>
            </w:r>
          </w:p>
        </w:tc>
        <w:tc>
          <w:tcPr>
            <w:tcW w:w="1032" w:type="dxa"/>
            <w:noWrap/>
            <w:vAlign w:val="center"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81,432   </w:t>
            </w:r>
          </w:p>
        </w:tc>
        <w:tc>
          <w:tcPr>
            <w:tcW w:w="1032" w:type="dxa"/>
            <w:noWrap/>
            <w:vAlign w:val="center"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374,563   </w:t>
            </w:r>
          </w:p>
        </w:tc>
        <w:tc>
          <w:tcPr>
            <w:tcW w:w="1032" w:type="dxa"/>
            <w:noWrap/>
            <w:vAlign w:val="center"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891,376   </w:t>
            </w:r>
          </w:p>
        </w:tc>
        <w:tc>
          <w:tcPr>
            <w:tcW w:w="1031" w:type="dxa"/>
            <w:noWrap/>
            <w:vAlign w:val="center"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1 563,034   </w:t>
            </w:r>
          </w:p>
        </w:tc>
        <w:tc>
          <w:tcPr>
            <w:tcW w:w="1032" w:type="dxa"/>
            <w:noWrap/>
            <w:vAlign w:val="center"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2 291,551   </w:t>
            </w:r>
          </w:p>
        </w:tc>
        <w:tc>
          <w:tcPr>
            <w:tcW w:w="1032" w:type="dxa"/>
            <w:noWrap/>
            <w:vAlign w:val="center"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3 173,669   </w:t>
            </w:r>
          </w:p>
        </w:tc>
        <w:tc>
          <w:tcPr>
            <w:tcW w:w="1032" w:type="dxa"/>
            <w:noWrap/>
            <w:vAlign w:val="center"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4 219,019   </w:t>
            </w:r>
          </w:p>
        </w:tc>
      </w:tr>
      <w:tr w:rsidR="00067B21" w:rsidRPr="00A75F2B" w:rsidTr="00171138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067B21" w:rsidRPr="00A75F2B" w:rsidRDefault="00067B21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>Выпадающие доходы  в результате возврата части НДФЛ инвесторов, млн руб.</w:t>
            </w:r>
          </w:p>
        </w:tc>
        <w:tc>
          <w:tcPr>
            <w:tcW w:w="1032" w:type="dxa"/>
            <w:noWrap/>
            <w:vAlign w:val="center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-1 019,509   </w:t>
            </w:r>
          </w:p>
        </w:tc>
        <w:tc>
          <w:tcPr>
            <w:tcW w:w="1032" w:type="dxa"/>
            <w:noWrap/>
            <w:vAlign w:val="center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067B21">
              <w:rPr>
                <w:color w:val="000000"/>
                <w:sz w:val="18"/>
                <w:szCs w:val="16"/>
              </w:rPr>
              <w:t>-</w:t>
            </w:r>
            <w:r w:rsidRPr="00171138">
              <w:rPr>
                <w:color w:val="000000"/>
                <w:sz w:val="18"/>
                <w:szCs w:val="16"/>
              </w:rPr>
              <w:t xml:space="preserve">1 223,411   </w:t>
            </w:r>
          </w:p>
        </w:tc>
        <w:tc>
          <w:tcPr>
            <w:tcW w:w="1032" w:type="dxa"/>
            <w:noWrap/>
            <w:vAlign w:val="center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-1 591,494   </w:t>
            </w:r>
          </w:p>
        </w:tc>
        <w:tc>
          <w:tcPr>
            <w:tcW w:w="1031" w:type="dxa"/>
            <w:noWrap/>
            <w:vAlign w:val="center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-1 750,378   </w:t>
            </w:r>
          </w:p>
        </w:tc>
        <w:tc>
          <w:tcPr>
            <w:tcW w:w="1032" w:type="dxa"/>
            <w:noWrap/>
            <w:vAlign w:val="center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-1 837,765   </w:t>
            </w:r>
          </w:p>
        </w:tc>
        <w:tc>
          <w:tcPr>
            <w:tcW w:w="1032" w:type="dxa"/>
            <w:noWrap/>
            <w:vAlign w:val="center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-1 930,447   </w:t>
            </w:r>
          </w:p>
        </w:tc>
        <w:tc>
          <w:tcPr>
            <w:tcW w:w="1032" w:type="dxa"/>
            <w:noWrap/>
            <w:vAlign w:val="center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-2 025,778   </w:t>
            </w:r>
          </w:p>
        </w:tc>
      </w:tr>
      <w:tr w:rsidR="00067B21" w:rsidRPr="00A75F2B" w:rsidTr="00171138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067B21" w:rsidRPr="00A75F2B" w:rsidRDefault="00067B21" w:rsidP="00A75F2B">
            <w:pPr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AD6952">
              <w:rPr>
                <w:color w:val="000000"/>
                <w:sz w:val="18"/>
                <w:szCs w:val="16"/>
              </w:rPr>
              <w:t xml:space="preserve">Выпадающий доход от </w:t>
            </w:r>
            <w:r>
              <w:rPr>
                <w:color w:val="000000"/>
                <w:sz w:val="18"/>
                <w:szCs w:val="16"/>
              </w:rPr>
              <w:t xml:space="preserve">освобождения от НДФЛ инвестиционного дохода, </w:t>
            </w:r>
            <w:r w:rsidRPr="00A75F2B">
              <w:rPr>
                <w:color w:val="000000"/>
                <w:sz w:val="18"/>
                <w:szCs w:val="16"/>
              </w:rPr>
              <w:t>млн руб.</w:t>
            </w:r>
          </w:p>
        </w:tc>
        <w:tc>
          <w:tcPr>
            <w:tcW w:w="1032" w:type="dxa"/>
            <w:noWrap/>
            <w:vAlign w:val="center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- 42,575   </w:t>
            </w:r>
          </w:p>
        </w:tc>
        <w:tc>
          <w:tcPr>
            <w:tcW w:w="1032" w:type="dxa"/>
            <w:noWrap/>
            <w:vAlign w:val="center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 </w:t>
            </w:r>
            <w:r>
              <w:rPr>
                <w:color w:val="000000"/>
                <w:sz w:val="18"/>
                <w:szCs w:val="16"/>
              </w:rPr>
              <w:t>8</w:t>
            </w:r>
            <w:r w:rsidRPr="00171138">
              <w:rPr>
                <w:color w:val="000000"/>
                <w:sz w:val="18"/>
                <w:szCs w:val="16"/>
              </w:rPr>
              <w:t xml:space="preserve">5,149   </w:t>
            </w:r>
          </w:p>
        </w:tc>
        <w:tc>
          <w:tcPr>
            <w:tcW w:w="1032" w:type="dxa"/>
            <w:noWrap/>
            <w:vAlign w:val="center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-151,583   </w:t>
            </w:r>
          </w:p>
        </w:tc>
        <w:tc>
          <w:tcPr>
            <w:tcW w:w="1031" w:type="dxa"/>
            <w:noWrap/>
            <w:vAlign w:val="center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-156,726   </w:t>
            </w:r>
          </w:p>
        </w:tc>
        <w:tc>
          <w:tcPr>
            <w:tcW w:w="1032" w:type="dxa"/>
            <w:noWrap/>
            <w:vAlign w:val="center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-167,167   </w:t>
            </w:r>
          </w:p>
        </w:tc>
        <w:tc>
          <w:tcPr>
            <w:tcW w:w="1032" w:type="dxa"/>
            <w:noWrap/>
            <w:vAlign w:val="center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- 184,348   </w:t>
            </w:r>
          </w:p>
        </w:tc>
        <w:tc>
          <w:tcPr>
            <w:tcW w:w="1032" w:type="dxa"/>
            <w:noWrap/>
            <w:vAlign w:val="center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-208,023   </w:t>
            </w:r>
          </w:p>
        </w:tc>
      </w:tr>
      <w:tr w:rsidR="00067B21" w:rsidRPr="00A75F2B" w:rsidTr="00CD6F94">
        <w:trPr>
          <w:trHeight w:val="300"/>
        </w:trPr>
        <w:tc>
          <w:tcPr>
            <w:tcW w:w="1668" w:type="dxa"/>
            <w:noWrap/>
            <w:vAlign w:val="center"/>
          </w:tcPr>
          <w:p w:rsidR="00067B21" w:rsidRPr="00A75F2B" w:rsidRDefault="00067B21" w:rsidP="00A75F2B">
            <w:pPr>
              <w:ind w:firstLine="0"/>
              <w:jc w:val="left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color w:val="000000"/>
                <w:sz w:val="18"/>
                <w:szCs w:val="16"/>
              </w:rPr>
              <w:t xml:space="preserve">Итого </w:t>
            </w:r>
            <w:r>
              <w:rPr>
                <w:color w:val="000000"/>
                <w:sz w:val="18"/>
                <w:szCs w:val="16"/>
              </w:rPr>
              <w:t>выпадающие доходы,</w:t>
            </w:r>
            <w:r w:rsidRPr="00A75F2B">
              <w:rPr>
                <w:color w:val="000000"/>
                <w:sz w:val="18"/>
                <w:szCs w:val="16"/>
              </w:rPr>
              <w:t xml:space="preserve"> млн руб.</w:t>
            </w:r>
          </w:p>
        </w:tc>
        <w:tc>
          <w:tcPr>
            <w:tcW w:w="1032" w:type="dxa"/>
            <w:noWrap/>
            <w:vAlign w:val="bottom"/>
          </w:tcPr>
          <w:p w:rsidR="00067B21" w:rsidRPr="00171138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>-1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71138">
              <w:rPr>
                <w:color w:val="000000"/>
                <w:sz w:val="18"/>
                <w:szCs w:val="16"/>
              </w:rPr>
              <w:t xml:space="preserve">062,084   </w:t>
            </w:r>
          </w:p>
        </w:tc>
        <w:tc>
          <w:tcPr>
            <w:tcW w:w="1032" w:type="dxa"/>
            <w:noWrap/>
            <w:vAlign w:val="bottom"/>
          </w:tcPr>
          <w:p w:rsidR="00067B21" w:rsidRPr="00171138" w:rsidRDefault="00067B21" w:rsidP="00171138">
            <w:pPr>
              <w:ind w:firstLine="0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-1 308,560   </w:t>
            </w:r>
          </w:p>
        </w:tc>
        <w:tc>
          <w:tcPr>
            <w:tcW w:w="1032" w:type="dxa"/>
            <w:noWrap/>
            <w:vAlign w:val="bottom"/>
          </w:tcPr>
          <w:p w:rsidR="00067B21" w:rsidRPr="00171138" w:rsidRDefault="00067B21" w:rsidP="00171138">
            <w:pPr>
              <w:ind w:firstLine="0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-1 743,077   </w:t>
            </w:r>
          </w:p>
        </w:tc>
        <w:tc>
          <w:tcPr>
            <w:tcW w:w="1031" w:type="dxa"/>
            <w:noWrap/>
            <w:vAlign w:val="bottom"/>
          </w:tcPr>
          <w:p w:rsidR="00067B21" w:rsidRPr="00171138" w:rsidRDefault="00067B21" w:rsidP="00171138">
            <w:pPr>
              <w:ind w:firstLine="0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-1 907,104   </w:t>
            </w:r>
          </w:p>
        </w:tc>
        <w:tc>
          <w:tcPr>
            <w:tcW w:w="1032" w:type="dxa"/>
            <w:noWrap/>
            <w:vAlign w:val="bottom"/>
          </w:tcPr>
          <w:p w:rsidR="00067B21" w:rsidRPr="00171138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-2 004,932   </w:t>
            </w:r>
          </w:p>
        </w:tc>
        <w:tc>
          <w:tcPr>
            <w:tcW w:w="1032" w:type="dxa"/>
            <w:noWrap/>
            <w:vAlign w:val="bottom"/>
          </w:tcPr>
          <w:p w:rsidR="00067B21" w:rsidRPr="00171138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-2 114,795   </w:t>
            </w:r>
          </w:p>
        </w:tc>
        <w:tc>
          <w:tcPr>
            <w:tcW w:w="1032" w:type="dxa"/>
            <w:noWrap/>
            <w:vAlign w:val="bottom"/>
          </w:tcPr>
          <w:p w:rsidR="00067B21" w:rsidRPr="00171138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-2 233,801   </w:t>
            </w:r>
          </w:p>
        </w:tc>
      </w:tr>
      <w:tr w:rsidR="00067B21" w:rsidRPr="00A75F2B" w:rsidTr="00171138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067B21" w:rsidRPr="00A75F2B" w:rsidRDefault="00067B21" w:rsidP="00A75F2B">
            <w:pPr>
              <w:ind w:firstLine="0"/>
              <w:jc w:val="left"/>
              <w:rPr>
                <w:b/>
                <w:color w:val="000000"/>
                <w:sz w:val="18"/>
                <w:szCs w:val="16"/>
              </w:rPr>
            </w:pPr>
            <w:r w:rsidRPr="00A75F2B">
              <w:rPr>
                <w:b/>
                <w:color w:val="000000"/>
                <w:sz w:val="18"/>
                <w:szCs w:val="16"/>
              </w:rPr>
              <w:t>Итого бюджетный эффект с учетом дисконтирования, млн руб.</w:t>
            </w:r>
          </w:p>
        </w:tc>
        <w:tc>
          <w:tcPr>
            <w:tcW w:w="1032" w:type="dxa"/>
            <w:noWrap/>
            <w:vAlign w:val="bottom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067B21">
              <w:rPr>
                <w:color w:val="000000"/>
                <w:sz w:val="18"/>
                <w:szCs w:val="16"/>
              </w:rPr>
              <w:t>-</w:t>
            </w:r>
            <w:r w:rsidRPr="00171138">
              <w:rPr>
                <w:color w:val="000000"/>
                <w:sz w:val="18"/>
                <w:szCs w:val="16"/>
              </w:rPr>
              <w:t xml:space="preserve"> 980,652   </w:t>
            </w:r>
          </w:p>
        </w:tc>
        <w:tc>
          <w:tcPr>
            <w:tcW w:w="1032" w:type="dxa"/>
            <w:noWrap/>
            <w:vAlign w:val="bottom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- 933,997   </w:t>
            </w:r>
          </w:p>
        </w:tc>
        <w:tc>
          <w:tcPr>
            <w:tcW w:w="1032" w:type="dxa"/>
            <w:noWrap/>
            <w:vAlign w:val="bottom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- 851,700   </w:t>
            </w:r>
          </w:p>
        </w:tc>
        <w:tc>
          <w:tcPr>
            <w:tcW w:w="1031" w:type="dxa"/>
            <w:noWrap/>
            <w:vAlign w:val="bottom"/>
            <w:hideMark/>
          </w:tcPr>
          <w:p w:rsidR="00067B21" w:rsidRPr="00A75F2B" w:rsidRDefault="00067B21" w:rsidP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- </w:t>
            </w:r>
            <w:r>
              <w:rPr>
                <w:color w:val="000000"/>
                <w:sz w:val="18"/>
                <w:szCs w:val="16"/>
              </w:rPr>
              <w:t>3</w:t>
            </w:r>
            <w:r w:rsidRPr="00171138">
              <w:rPr>
                <w:color w:val="000000"/>
                <w:sz w:val="18"/>
                <w:szCs w:val="16"/>
              </w:rPr>
              <w:t xml:space="preserve">44,070   </w:t>
            </w:r>
          </w:p>
        </w:tc>
        <w:tc>
          <w:tcPr>
            <w:tcW w:w="1032" w:type="dxa"/>
            <w:noWrap/>
            <w:vAlign w:val="bottom"/>
            <w:hideMark/>
          </w:tcPr>
          <w:p w:rsidR="00067B21" w:rsidRPr="00A75F2B" w:rsidRDefault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 286,619   </w:t>
            </w:r>
          </w:p>
        </w:tc>
        <w:tc>
          <w:tcPr>
            <w:tcW w:w="1032" w:type="dxa"/>
            <w:noWrap/>
            <w:vAlign w:val="bottom"/>
            <w:hideMark/>
          </w:tcPr>
          <w:p w:rsidR="00067B21" w:rsidRPr="00A75F2B" w:rsidRDefault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1 058,874   </w:t>
            </w:r>
          </w:p>
        </w:tc>
        <w:tc>
          <w:tcPr>
            <w:tcW w:w="1032" w:type="dxa"/>
            <w:noWrap/>
            <w:vAlign w:val="bottom"/>
            <w:hideMark/>
          </w:tcPr>
          <w:p w:rsidR="00067B21" w:rsidRPr="00A75F2B" w:rsidRDefault="00067B2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71138">
              <w:rPr>
                <w:color w:val="000000"/>
                <w:sz w:val="18"/>
                <w:szCs w:val="16"/>
              </w:rPr>
              <w:t xml:space="preserve">1 985,218   </w:t>
            </w:r>
          </w:p>
        </w:tc>
      </w:tr>
    </w:tbl>
    <w:p w:rsidR="00A72C7B" w:rsidRDefault="002B207F" w:rsidP="00230175">
      <w:pPr>
        <w:pStyle w:val="FootnoteText"/>
        <w:spacing w:before="120"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При расчете бюджетной эффективности предлагаемой меры поступления в бюджет по НДФЛ и страховым взносам </w:t>
      </w:r>
      <w:r w:rsidR="00A72C7B">
        <w:rPr>
          <w:sz w:val="28"/>
          <w:szCs w:val="24"/>
        </w:rPr>
        <w:t>учитывались</w:t>
      </w:r>
      <w:r w:rsidR="00A72C7B">
        <w:rPr>
          <w:sz w:val="28"/>
          <w:szCs w:val="24"/>
        </w:rPr>
        <w:t xml:space="preserve"> только </w:t>
      </w:r>
      <w:r>
        <w:rPr>
          <w:sz w:val="28"/>
          <w:szCs w:val="24"/>
        </w:rPr>
        <w:t xml:space="preserve">в отношении превышения </w:t>
      </w:r>
      <w:r w:rsidR="00A72C7B">
        <w:rPr>
          <w:sz w:val="28"/>
          <w:szCs w:val="24"/>
        </w:rPr>
        <w:t xml:space="preserve">сумм </w:t>
      </w:r>
      <w:r>
        <w:rPr>
          <w:sz w:val="28"/>
          <w:szCs w:val="24"/>
        </w:rPr>
        <w:t xml:space="preserve">заработной платы работников, рабочие места которых будут созданы </w:t>
      </w:r>
      <w:r w:rsidR="00A72C7B">
        <w:rPr>
          <w:sz w:val="28"/>
          <w:szCs w:val="24"/>
        </w:rPr>
        <w:t xml:space="preserve">за счет введения меры, над суммами средней заработной платой в Российской Федерации. При этом, даже несмотря на предлагаемый консервативный подход к оценке бюджетных поступлений, предполагается, что к 2023 году поступления в бюджет превысят потенциальные выпадающие доходы бюджета. Также ожидается косвенный мультипликативный эффект на экономику за счет создания нового высокотехнологичного производства, оценка которого затруднена ввиду влияния ряда факторов. </w:t>
      </w:r>
    </w:p>
    <w:p w:rsidR="001D1818" w:rsidRDefault="00230175" w:rsidP="00230175">
      <w:pPr>
        <w:pStyle w:val="FootnoteText"/>
        <w:spacing w:before="120" w:line="360" w:lineRule="auto"/>
        <w:rPr>
          <w:sz w:val="28"/>
          <w:szCs w:val="24"/>
        </w:rPr>
      </w:pPr>
      <w:r w:rsidRPr="00A75F2B">
        <w:rPr>
          <w:sz w:val="28"/>
          <w:szCs w:val="24"/>
        </w:rPr>
        <w:t>Таким образом</w:t>
      </w:r>
      <w:r w:rsidR="000811B1" w:rsidRPr="00A75F2B">
        <w:rPr>
          <w:sz w:val="28"/>
          <w:szCs w:val="24"/>
        </w:rPr>
        <w:t xml:space="preserve">, выпадающие доходы в первые годы введения меры составят всего </w:t>
      </w:r>
      <w:r w:rsidR="00AA4CD1" w:rsidRPr="00A75F2B">
        <w:rPr>
          <w:sz w:val="28"/>
          <w:szCs w:val="24"/>
        </w:rPr>
        <w:t>0,03</w:t>
      </w:r>
      <w:r w:rsidR="00A75F2B">
        <w:rPr>
          <w:sz w:val="28"/>
          <w:szCs w:val="24"/>
        </w:rPr>
        <w:t xml:space="preserve"> процента</w:t>
      </w:r>
      <w:r w:rsidR="000811B1" w:rsidRPr="00A75F2B">
        <w:rPr>
          <w:sz w:val="28"/>
          <w:szCs w:val="24"/>
        </w:rPr>
        <w:t xml:space="preserve"> от годовых поступлений по НДФЛ, однако они позволят увеличить объем частных инвестиций в развитие высокотехнологичных компаний и сократить прямые государственные расходы на этот сектор. </w:t>
      </w:r>
      <w:r w:rsidR="004375D0" w:rsidRPr="00A75F2B">
        <w:rPr>
          <w:sz w:val="28"/>
          <w:szCs w:val="24"/>
        </w:rPr>
        <w:t xml:space="preserve">В результате, </w:t>
      </w:r>
      <w:r w:rsidR="000811B1" w:rsidRPr="00A75F2B">
        <w:rPr>
          <w:sz w:val="28"/>
          <w:szCs w:val="24"/>
        </w:rPr>
        <w:t>1 рубль косвенных расходов</w:t>
      </w:r>
      <w:r w:rsidR="00850AD1" w:rsidRPr="00A75F2B">
        <w:rPr>
          <w:sz w:val="28"/>
          <w:szCs w:val="24"/>
        </w:rPr>
        <w:t xml:space="preserve"> бюджета</w:t>
      </w:r>
      <w:r w:rsidR="000811B1" w:rsidRPr="00A75F2B">
        <w:rPr>
          <w:sz w:val="28"/>
          <w:szCs w:val="24"/>
        </w:rPr>
        <w:t xml:space="preserve"> на стимулирование частных инвестиций </w:t>
      </w:r>
      <w:r w:rsidR="00850AD1" w:rsidRPr="00A75F2B">
        <w:rPr>
          <w:sz w:val="28"/>
          <w:szCs w:val="24"/>
        </w:rPr>
        <w:t xml:space="preserve">в виде недополученных платежей по НДФЛ принесет </w:t>
      </w:r>
      <w:r w:rsidR="001A380B" w:rsidRPr="00A75F2B">
        <w:rPr>
          <w:sz w:val="28"/>
          <w:szCs w:val="24"/>
        </w:rPr>
        <w:t>2 рубля</w:t>
      </w:r>
      <w:r w:rsidR="00850AD1" w:rsidRPr="00A75F2B">
        <w:rPr>
          <w:sz w:val="28"/>
          <w:szCs w:val="24"/>
        </w:rPr>
        <w:t xml:space="preserve"> налоговых поступлений </w:t>
      </w:r>
      <w:r w:rsidR="001A380B" w:rsidRPr="00A75F2B">
        <w:rPr>
          <w:sz w:val="28"/>
          <w:szCs w:val="24"/>
        </w:rPr>
        <w:t>в течение</w:t>
      </w:r>
      <w:r w:rsidR="00850AD1" w:rsidRPr="00A75F2B">
        <w:rPr>
          <w:sz w:val="28"/>
          <w:szCs w:val="24"/>
        </w:rPr>
        <w:t xml:space="preserve"> 7 лет. </w:t>
      </w:r>
    </w:p>
    <w:p w:rsidR="001D1818" w:rsidRDefault="001D1818">
      <w:pPr>
        <w:spacing w:before="0"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1D1818" w:rsidRDefault="001D1818" w:rsidP="00EA4EA2">
      <w:pPr>
        <w:jc w:val="center"/>
        <w:rPr>
          <w:b/>
          <w:szCs w:val="28"/>
        </w:rPr>
      </w:pPr>
      <w:r w:rsidRPr="00C41E82">
        <w:rPr>
          <w:b/>
          <w:szCs w:val="28"/>
        </w:rPr>
        <w:t xml:space="preserve">Перечень актов федерального законодательства, подлежащих признанию утратившими силу, приостановлению, изменению, дополнению или принятию в связи с принятием проекта </w:t>
      </w:r>
      <w:r>
        <w:rPr>
          <w:b/>
          <w:szCs w:val="28"/>
        </w:rPr>
        <w:t>Ф</w:t>
      </w:r>
      <w:r w:rsidRPr="00C41E82">
        <w:rPr>
          <w:b/>
          <w:szCs w:val="28"/>
        </w:rPr>
        <w:t xml:space="preserve">едерального закона </w:t>
      </w:r>
      <w:r w:rsidR="00EA4EA2" w:rsidRPr="00EA4EA2">
        <w:rPr>
          <w:b/>
          <w:szCs w:val="28"/>
        </w:rPr>
        <w:t>«О внесении изменений в часть вторую Налогового кодекса Российской Федерации в части введения специального налогового вычета по налогу на доходы физических лиц (НДФЛ) для инвесторов-физических лиц и введения льготной ставки по НДФЛ от инвестиционного дохода физических лиц»</w:t>
      </w:r>
    </w:p>
    <w:p w:rsidR="00EA4EA2" w:rsidRPr="00C41E82" w:rsidRDefault="00EA4EA2" w:rsidP="00EA4EA2">
      <w:pPr>
        <w:jc w:val="center"/>
        <w:rPr>
          <w:szCs w:val="28"/>
        </w:rPr>
      </w:pPr>
    </w:p>
    <w:p w:rsidR="001D1818" w:rsidRPr="004453AF" w:rsidRDefault="001D1818" w:rsidP="00EA4EA2">
      <w:pPr>
        <w:spacing w:line="360" w:lineRule="auto"/>
        <w:ind w:firstLine="709"/>
        <w:rPr>
          <w:szCs w:val="28"/>
        </w:rPr>
      </w:pPr>
      <w:r w:rsidRPr="00C41E82">
        <w:rPr>
          <w:szCs w:val="28"/>
        </w:rPr>
        <w:t xml:space="preserve">Принятие проекта </w:t>
      </w:r>
      <w:r>
        <w:rPr>
          <w:szCs w:val="28"/>
        </w:rPr>
        <w:t>Ф</w:t>
      </w:r>
      <w:r w:rsidRPr="00C41E82">
        <w:rPr>
          <w:szCs w:val="28"/>
        </w:rPr>
        <w:t xml:space="preserve">едерального </w:t>
      </w:r>
      <w:r w:rsidRPr="004453AF">
        <w:rPr>
          <w:szCs w:val="28"/>
        </w:rPr>
        <w:t xml:space="preserve">закона </w:t>
      </w:r>
      <w:r w:rsidR="00EA4EA2" w:rsidRPr="00EA4EA2">
        <w:rPr>
          <w:szCs w:val="28"/>
        </w:rPr>
        <w:t>«О внесении изменений в часть вторую Налогового кодекса Российской Федерации в части введения специального налогового вычета по налогу на доходы физических лиц (НДФЛ) для инвесторов-физических лиц и введения льготной ставки по НДФЛ от инвестиционного дохода физических лиц»</w:t>
      </w:r>
      <w:r w:rsidR="00EA4EA2">
        <w:rPr>
          <w:szCs w:val="28"/>
        </w:rPr>
        <w:t xml:space="preserve"> </w:t>
      </w:r>
      <w:r w:rsidRPr="004453AF">
        <w:rPr>
          <w:szCs w:val="28"/>
        </w:rPr>
        <w:t>не потребует признания утратившими силу, приостановления, изменения или принятия актов федерального законодательства.</w:t>
      </w:r>
    </w:p>
    <w:p w:rsidR="00230175" w:rsidRPr="00A75F2B" w:rsidRDefault="00230175" w:rsidP="00230175">
      <w:pPr>
        <w:pStyle w:val="FootnoteText"/>
        <w:spacing w:before="120" w:line="360" w:lineRule="auto"/>
        <w:rPr>
          <w:sz w:val="28"/>
          <w:szCs w:val="24"/>
        </w:rPr>
      </w:pPr>
    </w:p>
    <w:p w:rsidR="00230175" w:rsidRPr="00A75F2B" w:rsidRDefault="00230175" w:rsidP="00230175">
      <w:pPr>
        <w:pStyle w:val="FootnoteText"/>
        <w:spacing w:before="120" w:line="360" w:lineRule="auto"/>
        <w:rPr>
          <w:sz w:val="28"/>
          <w:szCs w:val="24"/>
        </w:rPr>
      </w:pPr>
    </w:p>
    <w:p w:rsidR="00BA1E48" w:rsidRPr="00A75F2B" w:rsidRDefault="00BA1E48" w:rsidP="00230175">
      <w:pPr>
        <w:pStyle w:val="FootnoteText"/>
        <w:spacing w:before="120" w:line="360" w:lineRule="auto"/>
        <w:rPr>
          <w:sz w:val="22"/>
        </w:rPr>
      </w:pPr>
    </w:p>
    <w:p w:rsidR="00221DDB" w:rsidRPr="00A75F2B" w:rsidRDefault="00221DDB" w:rsidP="00230175">
      <w:pPr>
        <w:spacing w:before="120" w:after="60" w:line="276" w:lineRule="auto"/>
        <w:ind w:firstLine="720"/>
        <w:rPr>
          <w:szCs w:val="24"/>
        </w:rPr>
      </w:pPr>
    </w:p>
    <w:sectPr w:rsidR="00221DDB" w:rsidRPr="00A75F2B" w:rsidSect="00230175">
      <w:headerReference w:type="default" r:id="rId10"/>
      <w:pgSz w:w="11907" w:h="16839" w:code="9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B5" w:rsidRDefault="004E47B5" w:rsidP="00AE6912">
      <w:pPr>
        <w:spacing w:before="0"/>
      </w:pPr>
      <w:r>
        <w:separator/>
      </w:r>
    </w:p>
  </w:endnote>
  <w:endnote w:type="continuationSeparator" w:id="0">
    <w:p w:rsidR="004E47B5" w:rsidRDefault="004E47B5" w:rsidP="00AE69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B5" w:rsidRDefault="004E47B5" w:rsidP="00AE6912">
      <w:pPr>
        <w:spacing w:before="0"/>
      </w:pPr>
      <w:r>
        <w:separator/>
      </w:r>
    </w:p>
  </w:footnote>
  <w:footnote w:type="continuationSeparator" w:id="0">
    <w:p w:rsidR="004E47B5" w:rsidRDefault="004E47B5" w:rsidP="00AE6912">
      <w:pPr>
        <w:spacing w:before="0"/>
      </w:pPr>
      <w:r>
        <w:continuationSeparator/>
      </w:r>
    </w:p>
  </w:footnote>
  <w:footnote w:id="1">
    <w:p w:rsidR="00CD6F94" w:rsidRDefault="00CD6F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А.Н.Петров</w:t>
      </w:r>
      <w:proofErr w:type="spellEnd"/>
      <w:r>
        <w:t xml:space="preserve">, </w:t>
      </w:r>
      <w:proofErr w:type="spellStart"/>
      <w:r>
        <w:t>К.В.Варламов</w:t>
      </w:r>
      <w:proofErr w:type="spellEnd"/>
      <w:r>
        <w:t xml:space="preserve">, </w:t>
      </w:r>
      <w:proofErr w:type="spellStart"/>
      <w:r>
        <w:t>А.В.Комаров</w:t>
      </w:r>
      <w:proofErr w:type="spellEnd"/>
      <w:r>
        <w:t xml:space="preserve">, </w:t>
      </w:r>
      <w:proofErr w:type="spellStart"/>
      <w:r>
        <w:t>Д.А.Матвеев</w:t>
      </w:r>
      <w:proofErr w:type="spellEnd"/>
      <w:r>
        <w:t>, П</w:t>
      </w:r>
      <w:r w:rsidRPr="001D1818">
        <w:t>роблемы функционирования государственных институтов развития</w:t>
      </w:r>
      <w:r>
        <w:t>, Экономика науки 2017.</w:t>
      </w:r>
    </w:p>
  </w:footnote>
  <w:footnote w:id="2">
    <w:p w:rsidR="00CD6F94" w:rsidRDefault="00CD6F94">
      <w:pPr>
        <w:pStyle w:val="FootnoteText"/>
      </w:pPr>
      <w:r>
        <w:rPr>
          <w:rStyle w:val="FootnoteReference"/>
        </w:rPr>
        <w:footnoteRef/>
      </w:r>
      <w:r w:rsidRPr="006F6E7A">
        <w:rPr>
          <w:lang w:val="en-US"/>
        </w:rPr>
        <w:t xml:space="preserve"> </w:t>
      </w:r>
      <w:r>
        <w:t>Там</w:t>
      </w:r>
      <w:r w:rsidRPr="00EA4EA2">
        <w:rPr>
          <w:lang w:val="en-US"/>
        </w:rPr>
        <w:t xml:space="preserve"> </w:t>
      </w:r>
      <w:r>
        <w:t>же</w:t>
      </w:r>
      <w:r w:rsidRPr="00EA4EA2">
        <w:rPr>
          <w:lang w:val="en-US"/>
        </w:rPr>
        <w:t xml:space="preserve">, </w:t>
      </w:r>
      <w:r w:rsidRPr="006F6E7A">
        <w:rPr>
          <w:lang w:val="en-US"/>
        </w:rPr>
        <w:t xml:space="preserve">Josh L., </w:t>
      </w:r>
      <w:proofErr w:type="spellStart"/>
      <w:r w:rsidRPr="006F6E7A">
        <w:rPr>
          <w:lang w:val="en-US"/>
        </w:rPr>
        <w:t>Leamon</w:t>
      </w:r>
      <w:proofErr w:type="spellEnd"/>
      <w:r w:rsidRPr="006F6E7A">
        <w:rPr>
          <w:lang w:val="en-US"/>
        </w:rPr>
        <w:t xml:space="preserve"> A., </w:t>
      </w:r>
      <w:proofErr w:type="spellStart"/>
      <w:r w:rsidRPr="006F6E7A">
        <w:rPr>
          <w:lang w:val="en-US"/>
        </w:rPr>
        <w:t>Hardymon</w:t>
      </w:r>
      <w:proofErr w:type="spellEnd"/>
      <w:r w:rsidRPr="006F6E7A">
        <w:rPr>
          <w:lang w:val="en-US"/>
        </w:rPr>
        <w:t xml:space="preserve"> F. (2012) Venture Capital, Private Equity, and the Financing of Entrepreneurship. </w:t>
      </w:r>
      <w:proofErr w:type="spellStart"/>
      <w:r>
        <w:t>Wiley</w:t>
      </w:r>
      <w:proofErr w:type="spellEnd"/>
      <w:r>
        <w:t>. (LLH).</w:t>
      </w:r>
    </w:p>
  </w:footnote>
  <w:footnote w:id="3">
    <w:p w:rsidR="00CD6F94" w:rsidRPr="00212CAB" w:rsidRDefault="00CD6F94" w:rsidP="002977C3">
      <w:pPr>
        <w:rPr>
          <w:sz w:val="20"/>
        </w:rPr>
      </w:pPr>
      <w:r w:rsidRPr="00212CAB">
        <w:rPr>
          <w:rStyle w:val="FootnoteReference"/>
          <w:sz w:val="20"/>
        </w:rPr>
        <w:footnoteRef/>
      </w:r>
      <w:r w:rsidRPr="00212CAB">
        <w:rPr>
          <w:sz w:val="20"/>
        </w:rPr>
        <w:t xml:space="preserve"> Отчет-исследование российского венчурного рынка за 2016 год  «Оттепель российского рынка </w:t>
      </w:r>
      <w:r w:rsidRPr="00212CAB">
        <w:rPr>
          <w:sz w:val="20"/>
          <w:lang w:val="en-US"/>
        </w:rPr>
        <w:t>VC</w:t>
      </w:r>
      <w:r w:rsidRPr="00212CAB">
        <w:rPr>
          <w:sz w:val="20"/>
        </w:rPr>
        <w:t xml:space="preserve">», группа компаний RB </w:t>
      </w:r>
      <w:proofErr w:type="spellStart"/>
      <w:r w:rsidRPr="00212CAB">
        <w:rPr>
          <w:sz w:val="20"/>
        </w:rPr>
        <w:t>Partners</w:t>
      </w:r>
      <w:proofErr w:type="spellEnd"/>
      <w:r w:rsidRPr="00212CAB">
        <w:rPr>
          <w:sz w:val="20"/>
        </w:rPr>
        <w:t xml:space="preserve"> и компания EY.</w:t>
      </w:r>
    </w:p>
    <w:p w:rsidR="00CD6F94" w:rsidRPr="00B654DF" w:rsidRDefault="00CD6F94" w:rsidP="002977C3">
      <w:pPr>
        <w:rPr>
          <w:sz w:val="24"/>
          <w:szCs w:val="24"/>
        </w:rPr>
      </w:pPr>
    </w:p>
    <w:p w:rsidR="00CD6F94" w:rsidRPr="00B654DF" w:rsidRDefault="00CD6F94">
      <w:pPr>
        <w:pStyle w:val="FootnoteText"/>
      </w:pPr>
    </w:p>
  </w:footnote>
  <w:footnote w:id="4">
    <w:p w:rsidR="00CD6F94" w:rsidRDefault="00CD6F94">
      <w:pPr>
        <w:pStyle w:val="FootnoteText"/>
      </w:pPr>
      <w:r>
        <w:rPr>
          <w:rStyle w:val="FootnoteReference"/>
        </w:rPr>
        <w:footnoteRef/>
      </w:r>
      <w:r>
        <w:t xml:space="preserve"> По данным аналитиков</w:t>
      </w:r>
      <w:r w:rsidRPr="006B21E0">
        <w:t xml:space="preserve"> ВТБ и компании </w:t>
      </w:r>
      <w:proofErr w:type="spellStart"/>
      <w:r w:rsidRPr="006B21E0">
        <w:t>Marc</w:t>
      </w:r>
      <w:proofErr w:type="spellEnd"/>
      <w:r w:rsidRPr="006B21E0">
        <w:t xml:space="preserve"> </w:t>
      </w:r>
      <w:proofErr w:type="spellStart"/>
      <w:r w:rsidRPr="006B21E0">
        <w:t>Russia</w:t>
      </w:r>
      <w:proofErr w:type="spellEnd"/>
      <w:r>
        <w:t xml:space="preserve"> </w:t>
      </w:r>
    </w:p>
  </w:footnote>
  <w:footnote w:id="5">
    <w:p w:rsidR="00CD6F94" w:rsidRDefault="00CD6F94">
      <w:pPr>
        <w:pStyle w:val="FootnoteText"/>
      </w:pPr>
      <w:r>
        <w:rPr>
          <w:rStyle w:val="FootnoteReference"/>
        </w:rPr>
        <w:footnoteRef/>
      </w:r>
      <w:hyperlink r:id="rId1" w:history="1">
        <w:r w:rsidRPr="00CD6F94">
          <w:rPr>
            <w:rStyle w:val="Hyperlink"/>
          </w:rPr>
          <w:t>https://www.revenue.ie/en/corporate/documents/statistics/tax-expenditures/eii-stats-2012-2016.pdf</w:t>
        </w:r>
      </w:hyperlink>
    </w:p>
  </w:footnote>
  <w:footnote w:id="6">
    <w:p w:rsidR="00CD6F94" w:rsidRPr="00A75F2B" w:rsidRDefault="00CD6F94" w:rsidP="00C7009F">
      <w:pPr>
        <w:pStyle w:val="FootnoteText"/>
      </w:pPr>
      <w:r>
        <w:rPr>
          <w:rStyle w:val="FootnoteReference"/>
        </w:rPr>
        <w:footnoteRef/>
      </w:r>
      <w:r w:rsidRPr="002977C3">
        <w:rPr>
          <w:lang w:val="en-US"/>
        </w:rPr>
        <w:t xml:space="preserve"> </w:t>
      </w:r>
      <w:r w:rsidRPr="007D51E2">
        <w:rPr>
          <w:lang w:val="en-US"/>
        </w:rPr>
        <w:t>Evaluation of EU Member States’ Business Angel Markets and Policies, Center for center and Evaluation Services. EBAN</w:t>
      </w:r>
      <w:r w:rsidRPr="00A75F2B">
        <w:t xml:space="preserve"> </w:t>
      </w:r>
      <w:r w:rsidRPr="007D51E2">
        <w:rPr>
          <w:lang w:val="en-US"/>
        </w:rPr>
        <w:t>Statistics</w:t>
      </w:r>
      <w:r w:rsidRPr="00A75F2B">
        <w:t xml:space="preserve"> </w:t>
      </w:r>
      <w:r w:rsidRPr="007D51E2">
        <w:rPr>
          <w:lang w:val="en-US"/>
        </w:rPr>
        <w:t>compendium</w:t>
      </w:r>
      <w:r w:rsidRPr="00A75F2B">
        <w:t xml:space="preserve"> 2010</w:t>
      </w:r>
    </w:p>
    <w:p w:rsidR="00CD6F94" w:rsidRPr="00A75F2B" w:rsidRDefault="00CD6F94">
      <w:pPr>
        <w:pStyle w:val="FootnoteText"/>
      </w:pPr>
    </w:p>
  </w:footnote>
  <w:footnote w:id="7">
    <w:p w:rsidR="00CD6F94" w:rsidRDefault="00CD6F94">
      <w:pPr>
        <w:pStyle w:val="FootnoteText"/>
      </w:pPr>
      <w:r>
        <w:rPr>
          <w:rStyle w:val="FootnoteReference"/>
        </w:rPr>
        <w:footnoteRef/>
      </w:r>
      <w:r>
        <w:t xml:space="preserve"> Ивасенко А.Г., Никонова Я.И., Савиных В.Н. «Деловые ангелы и их роль в финансировании стратегии инновационного развития России».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92920"/>
      <w:docPartObj>
        <w:docPartGallery w:val="Page Numbers (Top of Page)"/>
        <w:docPartUnique/>
      </w:docPartObj>
    </w:sdtPr>
    <w:sdtContent>
      <w:p w:rsidR="00CD6F94" w:rsidRDefault="00CD6F9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138" w:rsidRPr="00171138">
          <w:rPr>
            <w:noProof/>
            <w:lang w:val="fr-FR"/>
          </w:rPr>
          <w:t>12</w:t>
        </w:r>
        <w:r>
          <w:fldChar w:fldCharType="end"/>
        </w:r>
      </w:p>
    </w:sdtContent>
  </w:sdt>
  <w:p w:rsidR="00CD6F94" w:rsidRDefault="00CD6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532"/>
    <w:multiLevelType w:val="multilevel"/>
    <w:tmpl w:val="8200BEC2"/>
    <w:lvl w:ilvl="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">
    <w:nsid w:val="55433BFC"/>
    <w:multiLevelType w:val="hybridMultilevel"/>
    <w:tmpl w:val="67F47EF0"/>
    <w:lvl w:ilvl="0" w:tplc="FDC2A224">
      <w:start w:val="1"/>
      <w:numFmt w:val="russianLower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604CD02">
      <w:start w:val="1"/>
      <w:numFmt w:val="russianLower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0CAB"/>
    <w:multiLevelType w:val="hybridMultilevel"/>
    <w:tmpl w:val="1A605AF0"/>
    <w:lvl w:ilvl="0" w:tplc="0248E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604CD02">
      <w:start w:val="1"/>
      <w:numFmt w:val="russianLower"/>
      <w:lvlText w:val="%2."/>
      <w:lvlJc w:val="righ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AD"/>
    <w:rsid w:val="000036EC"/>
    <w:rsid w:val="00067B21"/>
    <w:rsid w:val="000811B1"/>
    <w:rsid w:val="000A4CF1"/>
    <w:rsid w:val="000D01E3"/>
    <w:rsid w:val="001277FD"/>
    <w:rsid w:val="00150153"/>
    <w:rsid w:val="00171138"/>
    <w:rsid w:val="001725B4"/>
    <w:rsid w:val="0017693C"/>
    <w:rsid w:val="001815E4"/>
    <w:rsid w:val="001A380B"/>
    <w:rsid w:val="001C338B"/>
    <w:rsid w:val="001D1582"/>
    <w:rsid w:val="001D1818"/>
    <w:rsid w:val="001F379F"/>
    <w:rsid w:val="00200EE4"/>
    <w:rsid w:val="00212CAB"/>
    <w:rsid w:val="00213025"/>
    <w:rsid w:val="002209FC"/>
    <w:rsid w:val="00221DDB"/>
    <w:rsid w:val="0022387B"/>
    <w:rsid w:val="00230175"/>
    <w:rsid w:val="00282C62"/>
    <w:rsid w:val="002977C3"/>
    <w:rsid w:val="002B207F"/>
    <w:rsid w:val="002D305F"/>
    <w:rsid w:val="002F2A89"/>
    <w:rsid w:val="002F6B5F"/>
    <w:rsid w:val="003257FF"/>
    <w:rsid w:val="00337A15"/>
    <w:rsid w:val="00343B61"/>
    <w:rsid w:val="003457CE"/>
    <w:rsid w:val="00347B5B"/>
    <w:rsid w:val="003734C8"/>
    <w:rsid w:val="003C1656"/>
    <w:rsid w:val="003E6B7C"/>
    <w:rsid w:val="004270D3"/>
    <w:rsid w:val="004375D0"/>
    <w:rsid w:val="00464E35"/>
    <w:rsid w:val="004A36AD"/>
    <w:rsid w:val="004E47B5"/>
    <w:rsid w:val="00504D2D"/>
    <w:rsid w:val="00520141"/>
    <w:rsid w:val="00535CAD"/>
    <w:rsid w:val="00597A46"/>
    <w:rsid w:val="005B30BC"/>
    <w:rsid w:val="005B7477"/>
    <w:rsid w:val="005E4DB1"/>
    <w:rsid w:val="0065165A"/>
    <w:rsid w:val="00656BCA"/>
    <w:rsid w:val="00677961"/>
    <w:rsid w:val="006826AE"/>
    <w:rsid w:val="006B21E0"/>
    <w:rsid w:val="006C13D2"/>
    <w:rsid w:val="006D51E7"/>
    <w:rsid w:val="006E71AD"/>
    <w:rsid w:val="006F010C"/>
    <w:rsid w:val="006F43F2"/>
    <w:rsid w:val="006F6E7A"/>
    <w:rsid w:val="0077291B"/>
    <w:rsid w:val="00775E21"/>
    <w:rsid w:val="007A5F3D"/>
    <w:rsid w:val="007D71BD"/>
    <w:rsid w:val="007F56B8"/>
    <w:rsid w:val="00850AD1"/>
    <w:rsid w:val="00943764"/>
    <w:rsid w:val="009625B4"/>
    <w:rsid w:val="009767D9"/>
    <w:rsid w:val="009A68F3"/>
    <w:rsid w:val="009F189A"/>
    <w:rsid w:val="009F3855"/>
    <w:rsid w:val="00A02424"/>
    <w:rsid w:val="00A549A6"/>
    <w:rsid w:val="00A72C7B"/>
    <w:rsid w:val="00A75F2B"/>
    <w:rsid w:val="00A80DFD"/>
    <w:rsid w:val="00AA0173"/>
    <w:rsid w:val="00AA1D39"/>
    <w:rsid w:val="00AA4CD1"/>
    <w:rsid w:val="00AD6952"/>
    <w:rsid w:val="00AE6912"/>
    <w:rsid w:val="00B654DF"/>
    <w:rsid w:val="00B94929"/>
    <w:rsid w:val="00B95E16"/>
    <w:rsid w:val="00BA076D"/>
    <w:rsid w:val="00BA1E48"/>
    <w:rsid w:val="00BA4F2D"/>
    <w:rsid w:val="00BB14A8"/>
    <w:rsid w:val="00BE7A08"/>
    <w:rsid w:val="00BF3C70"/>
    <w:rsid w:val="00C0104B"/>
    <w:rsid w:val="00C47A57"/>
    <w:rsid w:val="00C7009F"/>
    <w:rsid w:val="00CD6F94"/>
    <w:rsid w:val="00D53570"/>
    <w:rsid w:val="00D6245C"/>
    <w:rsid w:val="00DA12D9"/>
    <w:rsid w:val="00DB5E77"/>
    <w:rsid w:val="00DE25C5"/>
    <w:rsid w:val="00DF4DF3"/>
    <w:rsid w:val="00E00DFD"/>
    <w:rsid w:val="00E85440"/>
    <w:rsid w:val="00E9279D"/>
    <w:rsid w:val="00EA4EA2"/>
    <w:rsid w:val="00EA5DCF"/>
    <w:rsid w:val="00F038C9"/>
    <w:rsid w:val="00F14FAD"/>
    <w:rsid w:val="00F46537"/>
    <w:rsid w:val="00F6701F"/>
    <w:rsid w:val="00F8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AD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1AD"/>
    <w:pPr>
      <w:ind w:firstLine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71A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6D51E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51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D51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5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47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7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B7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TableGrid">
    <w:name w:val="Table Grid"/>
    <w:basedOn w:val="TableNormal"/>
    <w:uiPriority w:val="59"/>
    <w:rsid w:val="00BA1E4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A1E48"/>
    <w:pPr>
      <w:widowControl w:val="0"/>
      <w:autoSpaceDE w:val="0"/>
      <w:autoSpaceDN w:val="0"/>
      <w:adjustRightInd w:val="0"/>
      <w:spacing w:before="0" w:after="200"/>
      <w:ind w:firstLine="0"/>
      <w:jc w:val="left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175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3017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30175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30175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AD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1AD"/>
    <w:pPr>
      <w:ind w:firstLine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71A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6D51E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51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D51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5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47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7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B7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TableGrid">
    <w:name w:val="Table Grid"/>
    <w:basedOn w:val="TableNormal"/>
    <w:uiPriority w:val="59"/>
    <w:rsid w:val="00BA1E4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A1E48"/>
    <w:pPr>
      <w:widowControl w:val="0"/>
      <w:autoSpaceDE w:val="0"/>
      <w:autoSpaceDN w:val="0"/>
      <w:adjustRightInd w:val="0"/>
      <w:spacing w:before="0" w:after="200"/>
      <w:ind w:firstLine="0"/>
      <w:jc w:val="left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175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3017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30175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30175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C4E0C8FBD273F3870150BAE3120D32706847324CD8D6635168A4E8F448C2D681B24CEA99975Fe1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enue.ie/en/corporate/documents/statistics/tax-expenditures/eii-stats-2012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F5C7-7343-4C7C-9117-A7EEF4CF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3705</Words>
  <Characters>21124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Dentons</Company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InstallUser</dc:creator>
  <cp:lastModifiedBy>Dentons</cp:lastModifiedBy>
  <cp:revision>2</cp:revision>
  <dcterms:created xsi:type="dcterms:W3CDTF">2018-04-04T10:08:00Z</dcterms:created>
  <dcterms:modified xsi:type="dcterms:W3CDTF">2018-04-04T10:08:00Z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b57ddb6c-c017-44fc-aec2-459359988ee6</vt:lpwstr>
  </property>
</Properties>
</file>