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8134" w14:textId="77777777" w:rsidR="006B4587" w:rsidRPr="006B4587" w:rsidRDefault="006B4587" w:rsidP="006B4587">
      <w:pPr>
        <w:spacing w:beforeLines="60" w:before="144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6B4587">
        <w:rPr>
          <w:rFonts w:ascii="Times New Roman" w:eastAsia="Calibri" w:hAnsi="Times New Roman"/>
          <w:b/>
          <w:sz w:val="28"/>
          <w:szCs w:val="28"/>
          <w:lang w:val="ru-RU" w:eastAsia="ru-RU"/>
        </w:rPr>
        <w:t>ПОЯСНИТЕЛЬНАЯ ЗАПИСКА</w:t>
      </w:r>
    </w:p>
    <w:p w14:paraId="3DBA6149" w14:textId="77777777" w:rsidR="006B4587" w:rsidRDefault="006B4587" w:rsidP="006B4587">
      <w:pPr>
        <w:spacing w:beforeLines="60" w:before="144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6B4587">
        <w:rPr>
          <w:rFonts w:ascii="Times New Roman" w:eastAsia="Calibri" w:hAnsi="Times New Roman"/>
          <w:b/>
          <w:sz w:val="28"/>
          <w:szCs w:val="28"/>
          <w:lang w:val="ru-RU" w:eastAsia="ru-RU"/>
        </w:rPr>
        <w:t>к проекту Федерального закона</w:t>
      </w:r>
    </w:p>
    <w:p w14:paraId="32330C9B" w14:textId="77777777" w:rsidR="006B4587" w:rsidRDefault="006B4587" w:rsidP="006B4587">
      <w:pPr>
        <w:spacing w:beforeLines="60" w:before="144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0928">
        <w:rPr>
          <w:rFonts w:ascii="Times New Roman" w:hAnsi="Times New Roman"/>
          <w:b/>
          <w:sz w:val="28"/>
          <w:szCs w:val="28"/>
          <w:lang w:val="ru-RU"/>
        </w:rPr>
        <w:t>«О внесении изменений в статьи 262 и 284 части второй Налогового кодекса Российской Федерации в целях стимулирования оборота и коммерциализации результатов интеллектуальной деятельности (РИД) и привлечения в Российскую Федерацию иностранных компаний-владельцев РИД»</w:t>
      </w:r>
    </w:p>
    <w:p w14:paraId="6B775D0A" w14:textId="77777777" w:rsidR="006B4587" w:rsidRPr="006B4587" w:rsidRDefault="006B4587" w:rsidP="006B4587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p w14:paraId="5D393474" w14:textId="77777777" w:rsidR="00E370FD" w:rsidRDefault="00E370FD" w:rsidP="00E370FD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70FD">
        <w:rPr>
          <w:rFonts w:ascii="Times New Roman" w:hAnsi="Times New Roman"/>
          <w:sz w:val="28"/>
          <w:szCs w:val="28"/>
          <w:lang w:val="ru-RU"/>
        </w:rPr>
        <w:t>Проект федерального закона «О внесении изменений в статьи 262 и 284 части второй Налогового кодекса Российской Федерации в целях стимулирования оборота и коммерциализации результатов интеллектуальной деятельности (РИД) и привлечения в Российскую Федерацию иностранных компаний-владельцев РИД»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законопроект) </w:t>
      </w:r>
      <w:r w:rsidRPr="00E370FD">
        <w:rPr>
          <w:rFonts w:ascii="Times New Roman" w:hAnsi="Times New Roman"/>
          <w:sz w:val="28"/>
          <w:szCs w:val="28"/>
          <w:lang w:val="ru-RU"/>
        </w:rPr>
        <w:t xml:space="preserve">направлен на усовершенствование налогового законодательства в части стимулирования компаний, осуществляющих расходы на научно-исследовательские и (или) опытно-конструкторские разработки (НИОКР), а также компаний, создающих удостоверенные  патентами результаты интеллектуальной деятельности, разработчиков программного обеспечения, баз данных.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370FD">
        <w:rPr>
          <w:rFonts w:ascii="Times New Roman" w:hAnsi="Times New Roman"/>
          <w:sz w:val="28"/>
          <w:szCs w:val="28"/>
          <w:lang w:val="ru-RU"/>
        </w:rPr>
        <w:t xml:space="preserve">Введение указанных мер поддержки в условиях развития цифровой экономики будет способствовать увеличению налоговых поступлений от осуществления деятельности по разработке и использованию объектов интеллектуальной собственности с территории Российской Федерации (из российской налоговой юрисдикции). </w:t>
      </w:r>
    </w:p>
    <w:p w14:paraId="769E2EAA" w14:textId="77777777" w:rsidR="00D95E22" w:rsidRPr="00D95E22" w:rsidRDefault="00D95E22" w:rsidP="00E370FD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95E22">
        <w:rPr>
          <w:rFonts w:ascii="Times New Roman" w:hAnsi="Times New Roman"/>
          <w:sz w:val="28"/>
          <w:szCs w:val="28"/>
          <w:lang w:val="ru-RU"/>
        </w:rPr>
        <w:t>Законопроект разработан во исп</w:t>
      </w:r>
      <w:r>
        <w:rPr>
          <w:rFonts w:ascii="Times New Roman" w:hAnsi="Times New Roman"/>
          <w:sz w:val="28"/>
          <w:szCs w:val="28"/>
          <w:lang w:val="ru-RU"/>
        </w:rPr>
        <w:t>олнение пункта 01.01.006.001</w:t>
      </w:r>
      <w:r w:rsidRPr="00D95E22">
        <w:rPr>
          <w:rFonts w:ascii="Times New Roman" w:hAnsi="Times New Roman"/>
          <w:sz w:val="28"/>
          <w:szCs w:val="28"/>
          <w:lang w:val="ru-RU"/>
        </w:rPr>
        <w:t xml:space="preserve">.001 Плана мероприятий по направлению «Нормативное регулирование» программы «Цифровая экономика Российской Федерации», утверждённого на заседании Правительственной комиссии по использованию информационных технологий для улучшения качества жизни и условий </w:t>
      </w:r>
      <w:r w:rsidRPr="00D95E22">
        <w:rPr>
          <w:rFonts w:ascii="Times New Roman" w:hAnsi="Times New Roman"/>
          <w:sz w:val="28"/>
          <w:szCs w:val="28"/>
          <w:lang w:val="ru-RU"/>
        </w:rPr>
        <w:lastRenderedPageBreak/>
        <w:t>ведения предпринимательской деятельности 18 декабря 2017 года (Протокол № 2).</w:t>
      </w:r>
    </w:p>
    <w:p w14:paraId="2D711882" w14:textId="33E392FB" w:rsidR="00831BF4" w:rsidRPr="00831BF4" w:rsidRDefault="007E79F1" w:rsidP="00E370FD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79F1">
        <w:rPr>
          <w:rFonts w:ascii="Times New Roman" w:hAnsi="Times New Roman"/>
          <w:sz w:val="28"/>
          <w:szCs w:val="28"/>
          <w:lang w:val="ru-RU"/>
        </w:rPr>
        <w:t xml:space="preserve">В странах, занимающих лидирующие позиции в рейтингах Глобального инновационного индекса, налоговые </w:t>
      </w:r>
      <w:r w:rsidR="004C21D6">
        <w:rPr>
          <w:rFonts w:ascii="Times New Roman" w:hAnsi="Times New Roman"/>
          <w:sz w:val="28"/>
          <w:szCs w:val="28"/>
          <w:lang w:val="ru-RU"/>
        </w:rPr>
        <w:t>меры</w:t>
      </w:r>
      <w:r w:rsidRPr="007E79F1">
        <w:rPr>
          <w:rFonts w:ascii="Times New Roman" w:hAnsi="Times New Roman"/>
          <w:sz w:val="28"/>
          <w:szCs w:val="28"/>
          <w:lang w:val="ru-RU"/>
        </w:rPr>
        <w:t xml:space="preserve">, стимулирующие расходы на НИОКР и  коммерциализацию РИД, зарекомендовали себя как эффективные инструменты </w:t>
      </w:r>
      <w:r>
        <w:rPr>
          <w:rFonts w:ascii="Times New Roman" w:hAnsi="Times New Roman"/>
          <w:sz w:val="28"/>
          <w:szCs w:val="28"/>
          <w:lang w:val="ru-RU"/>
        </w:rPr>
        <w:t xml:space="preserve">косвенной поддержки инноваций. </w:t>
      </w:r>
      <w:r w:rsidR="00831BF4">
        <w:rPr>
          <w:rFonts w:ascii="Times New Roman" w:hAnsi="Times New Roman"/>
          <w:sz w:val="28"/>
          <w:szCs w:val="28"/>
          <w:lang w:val="ru-RU"/>
        </w:rPr>
        <w:t>С</w:t>
      </w:r>
      <w:r w:rsidR="00831BF4" w:rsidRPr="00831BF4">
        <w:rPr>
          <w:rFonts w:ascii="Times New Roman" w:hAnsi="Times New Roman"/>
          <w:sz w:val="28"/>
          <w:szCs w:val="28"/>
          <w:lang w:val="ru-RU"/>
        </w:rPr>
        <w:t xml:space="preserve">уществующие меры поддержки НИОКР в России обеспечивают в лучшем случае поддержание благоприятных условий для стабильного развития инновационной деятельности, но имеющихся мер явно недостаточно для </w:t>
      </w:r>
      <w:r w:rsidR="00831BF4">
        <w:rPr>
          <w:rFonts w:ascii="Times New Roman" w:hAnsi="Times New Roman"/>
          <w:sz w:val="28"/>
          <w:szCs w:val="28"/>
          <w:lang w:val="ru-RU"/>
        </w:rPr>
        <w:t>качественного скачка в развитии</w:t>
      </w:r>
      <w:r w:rsidR="00831BF4" w:rsidRPr="00831BF4">
        <w:rPr>
          <w:rFonts w:ascii="Times New Roman" w:hAnsi="Times New Roman"/>
          <w:sz w:val="28"/>
          <w:szCs w:val="28"/>
          <w:lang w:val="ru-RU"/>
        </w:rPr>
        <w:t xml:space="preserve"> инноваций. Учитыв</w:t>
      </w:r>
      <w:r w:rsidR="00831BF4">
        <w:rPr>
          <w:rFonts w:ascii="Times New Roman" w:hAnsi="Times New Roman"/>
          <w:sz w:val="28"/>
          <w:szCs w:val="28"/>
          <w:lang w:val="ru-RU"/>
        </w:rPr>
        <w:t>ая стоящие перед государством</w:t>
      </w:r>
      <w:r w:rsidR="00831BF4" w:rsidRPr="00831BF4">
        <w:rPr>
          <w:rFonts w:ascii="Times New Roman" w:hAnsi="Times New Roman"/>
          <w:sz w:val="28"/>
          <w:szCs w:val="28"/>
          <w:lang w:val="ru-RU"/>
        </w:rPr>
        <w:t xml:space="preserve"> амбициозные задачи</w:t>
      </w:r>
      <w:r w:rsidR="00831BF4">
        <w:rPr>
          <w:rFonts w:ascii="Times New Roman" w:hAnsi="Times New Roman"/>
          <w:sz w:val="28"/>
          <w:szCs w:val="28"/>
          <w:lang w:val="ru-RU"/>
        </w:rPr>
        <w:t xml:space="preserve"> по технологическому лидерству</w:t>
      </w:r>
      <w:r w:rsidR="00831BF4" w:rsidRPr="00831BF4">
        <w:rPr>
          <w:rFonts w:ascii="Times New Roman" w:hAnsi="Times New Roman"/>
          <w:sz w:val="28"/>
          <w:szCs w:val="28"/>
          <w:lang w:val="ru-RU"/>
        </w:rPr>
        <w:t xml:space="preserve">, представляется целесообразным не только обеспечить привлекательность существующих мер поддержки, но и ввести зарекомендовавшую себя в мире </w:t>
      </w:r>
      <w:r w:rsidR="00831BF4">
        <w:rPr>
          <w:rFonts w:ascii="Times New Roman" w:hAnsi="Times New Roman"/>
          <w:sz w:val="28"/>
          <w:szCs w:val="28"/>
          <w:lang w:val="ru-RU"/>
        </w:rPr>
        <w:t>новую для российской налоговой системы практику.</w:t>
      </w:r>
    </w:p>
    <w:p w14:paraId="66C60AAA" w14:textId="77777777" w:rsidR="00831BF4" w:rsidRDefault="00831BF4" w:rsidP="001B4255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79F1">
        <w:rPr>
          <w:rFonts w:ascii="Times New Roman" w:hAnsi="Times New Roman"/>
          <w:b/>
          <w:sz w:val="28"/>
          <w:szCs w:val="28"/>
          <w:lang w:val="ru-RU"/>
        </w:rPr>
        <w:t xml:space="preserve">В части </w:t>
      </w:r>
      <w:r w:rsidR="001B4255" w:rsidRPr="007E79F1">
        <w:rPr>
          <w:rFonts w:ascii="Times New Roman" w:hAnsi="Times New Roman"/>
          <w:b/>
          <w:sz w:val="28"/>
          <w:szCs w:val="28"/>
          <w:lang w:val="ru-RU"/>
        </w:rPr>
        <w:t>внесения изменений в статью 262 Налогового кодекса Российской Федерации</w:t>
      </w:r>
      <w:r w:rsidR="001B4255" w:rsidRPr="00E370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4255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оптимизации</w:t>
      </w:r>
      <w:r w:rsidRPr="00E370FD">
        <w:rPr>
          <w:rFonts w:ascii="Times New Roman" w:hAnsi="Times New Roman"/>
          <w:sz w:val="28"/>
          <w:szCs w:val="28"/>
          <w:lang w:val="ru-RU"/>
        </w:rPr>
        <w:t xml:space="preserve"> повышенного вычета расходов на НИОКР для исчисления налога на прибыль</w:t>
      </w:r>
      <w:r w:rsidR="001B4255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1B4255" w:rsidRPr="00E370FD">
        <w:rPr>
          <w:rFonts w:ascii="Times New Roman" w:hAnsi="Times New Roman"/>
          <w:sz w:val="28"/>
          <w:szCs w:val="28"/>
          <w:lang w:val="ru-RU"/>
        </w:rPr>
        <w:t>роектом федерального закона предусматривается:</w:t>
      </w:r>
    </w:p>
    <w:p w14:paraId="56941AFC" w14:textId="77777777" w:rsidR="00831BF4" w:rsidRDefault="001B4255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31BF4" w:rsidRPr="00831BF4">
        <w:rPr>
          <w:rFonts w:ascii="Times New Roman" w:hAnsi="Times New Roman"/>
          <w:sz w:val="28"/>
          <w:szCs w:val="28"/>
          <w:lang w:val="ru-RU"/>
        </w:rPr>
        <w:t>величение повышающего коэффициента расходов на НИОКР до 2</w:t>
      </w:r>
      <w:r w:rsidR="008B4475">
        <w:rPr>
          <w:rFonts w:ascii="Times New Roman" w:hAnsi="Times New Roman"/>
          <w:sz w:val="28"/>
          <w:szCs w:val="28"/>
          <w:lang w:val="ru-RU"/>
        </w:rPr>
        <w:t xml:space="preserve"> в соответствии со средними показателями объема прямого эффекта </w:t>
      </w:r>
      <w:r w:rsidR="00053679">
        <w:rPr>
          <w:rFonts w:ascii="Times New Roman" w:hAnsi="Times New Roman"/>
          <w:sz w:val="28"/>
          <w:szCs w:val="28"/>
          <w:lang w:val="ru-RU"/>
        </w:rPr>
        <w:t>по налогу на прибыль в странах, применяющих меру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ADC1FB9" w14:textId="77777777" w:rsidR="00831BF4" w:rsidRDefault="001B4255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1B4255">
        <w:rPr>
          <w:rFonts w:ascii="Times New Roman" w:hAnsi="Times New Roman"/>
          <w:sz w:val="28"/>
          <w:szCs w:val="28"/>
          <w:lang w:val="ru-RU"/>
        </w:rPr>
        <w:t>точнение понятия НИОКР в налоговом законодательстве для целей исчисления налога на прибыль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9B9BE72" w14:textId="77777777" w:rsidR="00831BF4" w:rsidRDefault="001B4255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1B4255">
        <w:rPr>
          <w:rFonts w:ascii="Times New Roman" w:hAnsi="Times New Roman"/>
          <w:sz w:val="28"/>
          <w:szCs w:val="28"/>
          <w:lang w:val="ru-RU"/>
        </w:rPr>
        <w:t>ополнение перечня расходов на НИОКР расходами на приобретение исключительных и (или) неисключительных прав на программы на ЭВМ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8137211" w14:textId="55FE1057" w:rsidR="00481D12" w:rsidRDefault="001E208F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настоящее время согласно статье 262 Налогового кодекса Российской Федерации налогоплательщику, осуществляющему НИОКР для собственных целей по перечню направлений НИОКР, предоставляется право учесть ряд таких расходов в размере понесенных затрат с применением коэффициента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1,5. </w:t>
      </w:r>
      <w:r w:rsidR="00481D12">
        <w:rPr>
          <w:rFonts w:ascii="Times New Roman" w:hAnsi="Times New Roman"/>
          <w:sz w:val="28"/>
          <w:szCs w:val="28"/>
          <w:lang w:val="ru-RU"/>
        </w:rPr>
        <w:t>Прямым эффектом от применения вычета является снижение платежей по налогу на прибыль в размере до 10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процентов </w:t>
      </w:r>
      <w:r w:rsidR="00481D12">
        <w:rPr>
          <w:rFonts w:ascii="Times New Roman" w:hAnsi="Times New Roman"/>
          <w:sz w:val="28"/>
          <w:szCs w:val="28"/>
          <w:lang w:val="ru-RU"/>
        </w:rPr>
        <w:t xml:space="preserve">расходов на НИОКР. При этом, по данным Федеральной налоговой службы, в 2016 году вычетом воспользовалось всего 76 компаний в России. </w:t>
      </w:r>
    </w:p>
    <w:p w14:paraId="347128F2" w14:textId="7FB33A88" w:rsidR="00481D12" w:rsidRDefault="00481D12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Среди препятствий 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для широкого </w:t>
      </w:r>
      <w:r>
        <w:rPr>
          <w:rFonts w:ascii="Times New Roman" w:hAnsi="Times New Roman"/>
          <w:sz w:val="28"/>
          <w:szCs w:val="28"/>
          <w:lang w:val="ru-RU"/>
        </w:rPr>
        <w:t xml:space="preserve">применения этой стимулирующей меры компаниями, осуществляющими НИОКР, - </w:t>
      </w:r>
      <w:r w:rsidR="009809B5">
        <w:rPr>
          <w:rFonts w:ascii="Times New Roman" w:hAnsi="Times New Roman"/>
          <w:sz w:val="28"/>
          <w:szCs w:val="28"/>
          <w:lang w:val="ru-RU"/>
        </w:rPr>
        <w:t>высокие затраты налогоплательщиков на администрирование повышенного вычета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в сравнении с невысокой потенциальной экономией и </w:t>
      </w:r>
      <w:r w:rsidR="00FA7FE8" w:rsidRPr="00FA7FE8">
        <w:rPr>
          <w:rFonts w:ascii="Times New Roman" w:hAnsi="Times New Roman"/>
          <w:sz w:val="28"/>
          <w:szCs w:val="28"/>
          <w:lang w:val="ru-RU"/>
        </w:rPr>
        <w:t>узкая трактовка налоговыми органами определения расходов на НИОКР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, которая </w:t>
      </w:r>
      <w:r w:rsidR="00FA7FE8" w:rsidRPr="00FA7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FE8">
        <w:rPr>
          <w:rFonts w:ascii="Times New Roman" w:hAnsi="Times New Roman"/>
          <w:sz w:val="28"/>
          <w:szCs w:val="28"/>
          <w:lang w:val="ru-RU"/>
        </w:rPr>
        <w:t>влечет</w:t>
      </w:r>
      <w:r w:rsidR="00FA7FE8" w:rsidRPr="00FA7FE8">
        <w:rPr>
          <w:rFonts w:ascii="Times New Roman" w:hAnsi="Times New Roman"/>
          <w:sz w:val="28"/>
          <w:szCs w:val="28"/>
          <w:lang w:val="ru-RU"/>
        </w:rPr>
        <w:t xml:space="preserve"> сложности при заявлении, обосновании и доказ</w:t>
      </w:r>
      <w:r w:rsidR="00FA7FE8">
        <w:rPr>
          <w:rFonts w:ascii="Times New Roman" w:hAnsi="Times New Roman"/>
          <w:sz w:val="28"/>
          <w:szCs w:val="28"/>
          <w:lang w:val="ru-RU"/>
        </w:rPr>
        <w:t>ывании</w:t>
      </w:r>
      <w:r w:rsidR="00FA7FE8" w:rsidRPr="00FA7FE8">
        <w:rPr>
          <w:rFonts w:ascii="Times New Roman" w:hAnsi="Times New Roman"/>
          <w:sz w:val="28"/>
          <w:szCs w:val="28"/>
          <w:lang w:val="ru-RU"/>
        </w:rPr>
        <w:t xml:space="preserve"> права на 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вычет.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CFD15FC" w14:textId="6D783323" w:rsidR="00E31DDA" w:rsidRDefault="00481D12" w:rsidP="00FA7FE8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1D12">
        <w:rPr>
          <w:rFonts w:ascii="Times New Roman" w:hAnsi="Times New Roman"/>
          <w:sz w:val="28"/>
          <w:szCs w:val="28"/>
          <w:lang w:val="ru-RU"/>
        </w:rPr>
        <w:t xml:space="preserve">Совокупные затраты по заявлению и подтверждению компаниями права на применение </w:t>
      </w:r>
      <w:r w:rsidR="004C21D6">
        <w:rPr>
          <w:rFonts w:ascii="Times New Roman" w:hAnsi="Times New Roman"/>
          <w:sz w:val="28"/>
          <w:szCs w:val="28"/>
          <w:lang w:val="ru-RU"/>
        </w:rPr>
        <w:t>повышенного вычета</w:t>
      </w:r>
      <w:r w:rsidRPr="00481D12">
        <w:rPr>
          <w:rFonts w:ascii="Times New Roman" w:hAnsi="Times New Roman"/>
          <w:sz w:val="28"/>
          <w:szCs w:val="28"/>
          <w:lang w:val="ru-RU"/>
        </w:rPr>
        <w:t xml:space="preserve"> в денежном выражении могут быть сопоставимы с потенциальной экономией по налогу на прибыль от применения </w:t>
      </w:r>
      <w:r w:rsidR="004C21D6">
        <w:rPr>
          <w:rFonts w:ascii="Times New Roman" w:hAnsi="Times New Roman"/>
          <w:sz w:val="28"/>
          <w:szCs w:val="28"/>
          <w:lang w:val="ru-RU"/>
        </w:rPr>
        <w:t>меры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(фактическая экономия 10 процентов</w:t>
      </w:r>
      <w:r w:rsidRPr="00481D12">
        <w:rPr>
          <w:rFonts w:ascii="Times New Roman" w:hAnsi="Times New Roman"/>
          <w:sz w:val="28"/>
          <w:szCs w:val="28"/>
          <w:lang w:val="ru-RU"/>
        </w:rPr>
        <w:t xml:space="preserve"> от расходов на НИОКР при повышающем коэффициенте 1,5). При этом средний повышающий коэффициент в юрисдикциях, в которых введена такая </w:t>
      </w:r>
      <w:r w:rsidR="004C21D6">
        <w:rPr>
          <w:rFonts w:ascii="Times New Roman" w:hAnsi="Times New Roman"/>
          <w:sz w:val="28"/>
          <w:szCs w:val="28"/>
          <w:lang w:val="ru-RU"/>
        </w:rPr>
        <w:t>мера поддержки</w:t>
      </w:r>
      <w:r w:rsidRPr="00481D12">
        <w:rPr>
          <w:rFonts w:ascii="Times New Roman" w:hAnsi="Times New Roman"/>
          <w:sz w:val="28"/>
          <w:szCs w:val="28"/>
          <w:lang w:val="ru-RU"/>
        </w:rPr>
        <w:t>, составляет 2,25, а средняя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экономия по налогу на прибыль составляет 18-20 процентов</w:t>
      </w:r>
      <w:r w:rsidRPr="00481D12">
        <w:rPr>
          <w:rFonts w:ascii="Times New Roman" w:hAnsi="Times New Roman"/>
          <w:sz w:val="28"/>
          <w:szCs w:val="28"/>
          <w:lang w:val="ru-RU"/>
        </w:rPr>
        <w:t xml:space="preserve"> от расходов на НИОКР, в зависимости от размера </w:t>
      </w:r>
      <w:r w:rsidR="009C2C58"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Pr="00481D12">
        <w:rPr>
          <w:rFonts w:ascii="Times New Roman" w:hAnsi="Times New Roman"/>
          <w:sz w:val="28"/>
          <w:szCs w:val="28"/>
          <w:lang w:val="ru-RU"/>
        </w:rPr>
        <w:t>ставки налога на пр</w:t>
      </w:r>
      <w:r w:rsidR="00FA7FE8">
        <w:rPr>
          <w:rFonts w:ascii="Times New Roman" w:hAnsi="Times New Roman"/>
          <w:sz w:val="28"/>
          <w:szCs w:val="28"/>
          <w:lang w:val="ru-RU"/>
        </w:rPr>
        <w:t>ибыль</w:t>
      </w:r>
      <w:r w:rsidRPr="00481D1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C2C58">
        <w:rPr>
          <w:rFonts w:ascii="Times New Roman" w:hAnsi="Times New Roman"/>
          <w:sz w:val="28"/>
          <w:szCs w:val="28"/>
          <w:lang w:val="ru-RU"/>
        </w:rPr>
        <w:t xml:space="preserve">Увеличение размера коэффициента до 2 означает увеличение экономии для применяющих вычет компаний до 20 процентов расходов на НИОКР, что соотносится с мировой практикой и </w:t>
      </w:r>
      <w:r w:rsidR="00E31DDA">
        <w:rPr>
          <w:rFonts w:ascii="Times New Roman" w:hAnsi="Times New Roman"/>
          <w:sz w:val="28"/>
          <w:szCs w:val="28"/>
          <w:lang w:val="ru-RU"/>
        </w:rPr>
        <w:t>трудозатратами налогоплательщика на администрирование повышенного вычета. Наряду с дополнением списка расходов расходами на</w:t>
      </w:r>
      <w:r w:rsidR="00E31DDA" w:rsidRPr="00E31DDA">
        <w:rPr>
          <w:rFonts w:ascii="Times New Roman" w:hAnsi="Times New Roman"/>
          <w:sz w:val="28"/>
          <w:szCs w:val="28"/>
          <w:lang w:val="ru-RU"/>
        </w:rPr>
        <w:t xml:space="preserve"> приобретение исключительных и (или) неисключительных прав на программы на ЭВМ</w:t>
      </w:r>
      <w:r w:rsidR="00E31DDA">
        <w:rPr>
          <w:rFonts w:ascii="Times New Roman" w:hAnsi="Times New Roman"/>
          <w:sz w:val="28"/>
          <w:szCs w:val="28"/>
          <w:lang w:val="ru-RU"/>
        </w:rPr>
        <w:t xml:space="preserve">, предлагаемое изменение позволит повысить востребованность меры. </w:t>
      </w:r>
    </w:p>
    <w:p w14:paraId="0CF552BC" w14:textId="26F3CBEE" w:rsidR="00E31DDA" w:rsidRPr="00E94001" w:rsidRDefault="001929F5" w:rsidP="006960F7">
      <w:pPr>
        <w:spacing w:before="60" w:line="360" w:lineRule="auto"/>
        <w:ind w:firstLine="708"/>
        <w:jc w:val="both"/>
        <w:rPr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этого, препятствием для эффективного применения повышенного вычета является неопределенность трактовки участниками</w:t>
      </w:r>
      <w:r w:rsidRPr="001929F5">
        <w:rPr>
          <w:rFonts w:ascii="Times New Roman" w:hAnsi="Times New Roman"/>
          <w:sz w:val="28"/>
          <w:szCs w:val="28"/>
          <w:lang w:val="ru-RU"/>
        </w:rPr>
        <w:t xml:space="preserve"> налоговых правоотношений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DDA">
        <w:rPr>
          <w:rFonts w:ascii="Times New Roman" w:hAnsi="Times New Roman"/>
          <w:sz w:val="28"/>
          <w:szCs w:val="28"/>
          <w:lang w:val="ru-RU"/>
        </w:rPr>
        <w:t xml:space="preserve">определения 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 xml:space="preserve">расходов на НИОКР для целей 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lastRenderedPageBreak/>
        <w:t xml:space="preserve">исчисления налога на прибыль и применения повышенного коэффициента, которое имеется </w:t>
      </w:r>
      <w:r w:rsidR="00E31DDA" w:rsidRPr="006960F7">
        <w:rPr>
          <w:rFonts w:ascii="Times New Roman" w:hAnsi="Times New Roman"/>
          <w:sz w:val="28"/>
          <w:szCs w:val="28"/>
          <w:lang w:val="ru-RU"/>
        </w:rPr>
        <w:t xml:space="preserve">в налоговом законодательстве. </w:t>
      </w:r>
      <w:r w:rsidRPr="00E94001">
        <w:rPr>
          <w:rFonts w:ascii="Times New Roman" w:hAnsi="Times New Roman"/>
          <w:sz w:val="28"/>
          <w:szCs w:val="28"/>
          <w:lang w:val="ru-RU"/>
        </w:rPr>
        <w:t>Н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 xml:space="preserve">алоговые органы </w:t>
      </w:r>
      <w:r w:rsidRPr="00E94001">
        <w:rPr>
          <w:rFonts w:ascii="Times New Roman" w:hAnsi="Times New Roman"/>
          <w:sz w:val="28"/>
          <w:szCs w:val="28"/>
          <w:lang w:val="ru-RU"/>
        </w:rPr>
        <w:t xml:space="preserve">зачастую 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>трактуют определение расходов на НИОКР уже, чем это предусмотре</w:t>
      </w:r>
      <w:r w:rsidRPr="00E94001">
        <w:rPr>
          <w:rFonts w:ascii="Times New Roman" w:hAnsi="Times New Roman"/>
          <w:sz w:val="28"/>
          <w:szCs w:val="28"/>
          <w:lang w:val="ru-RU"/>
        </w:rPr>
        <w:t xml:space="preserve">но налоговым законодательством и 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>требуют обосновать научную новизну, уникальность и значимость результатов разработки вплоть до общероссийских или мировых масштабов, значимость результатов НИОКР для мирового научного сообщества и др., что не вытекает из требований налогового законодательства.</w:t>
      </w:r>
      <w:r>
        <w:rPr>
          <w:rFonts w:ascii="Times New Roman" w:hAnsi="Times New Roman"/>
          <w:sz w:val="28"/>
          <w:szCs w:val="28"/>
          <w:lang w:val="ru-RU"/>
        </w:rPr>
        <w:t xml:space="preserve"> При этом,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 xml:space="preserve"> налогоплательщики, квалифицируя  расходы</w:t>
      </w:r>
      <w:r w:rsidR="006960F7" w:rsidRPr="006960F7">
        <w:rPr>
          <w:rFonts w:ascii="Times New Roman" w:hAnsi="Times New Roman"/>
          <w:sz w:val="28"/>
          <w:szCs w:val="28"/>
          <w:lang w:val="ru-RU"/>
        </w:rPr>
        <w:t>, относящиеся к созданию новой или усовершенствованию производимой продукции (товаров, работ, услуг), к созданию новых или усовершенствованию применяемых технологий, методов организации производства и управления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 xml:space="preserve"> в соответствии с критериями </w:t>
      </w:r>
      <w:r w:rsidR="006960F7">
        <w:rPr>
          <w:rFonts w:ascii="Times New Roman" w:hAnsi="Times New Roman"/>
          <w:sz w:val="28"/>
          <w:szCs w:val="28"/>
          <w:lang w:val="ru-RU"/>
        </w:rPr>
        <w:t>российского налогового законодательства как расходы на НИОКР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 xml:space="preserve">, оказываются в ситуации </w:t>
      </w:r>
      <w:r w:rsidR="006960F7">
        <w:rPr>
          <w:rFonts w:ascii="Times New Roman" w:hAnsi="Times New Roman"/>
          <w:sz w:val="28"/>
          <w:szCs w:val="28"/>
          <w:lang w:val="ru-RU"/>
        </w:rPr>
        <w:t xml:space="preserve">правовой </w:t>
      </w:r>
      <w:r w:rsidR="00E31DDA" w:rsidRPr="00E94001">
        <w:rPr>
          <w:rFonts w:ascii="Times New Roman" w:hAnsi="Times New Roman"/>
          <w:sz w:val="28"/>
          <w:szCs w:val="28"/>
          <w:lang w:val="ru-RU"/>
        </w:rPr>
        <w:t>неопределенности.</w:t>
      </w:r>
      <w:r w:rsidR="00E31DDA" w:rsidRPr="00E94001">
        <w:rPr>
          <w:sz w:val="24"/>
          <w:lang w:val="ru-RU"/>
        </w:rPr>
        <w:t xml:space="preserve"> </w:t>
      </w:r>
    </w:p>
    <w:p w14:paraId="60D8F5B1" w14:textId="6DB03E05" w:rsidR="006960F7" w:rsidRPr="006960F7" w:rsidRDefault="00E31DDA" w:rsidP="00E94001">
      <w:pPr>
        <w:autoSpaceDE w:val="0"/>
        <w:autoSpaceDN w:val="0"/>
        <w:adjustRightInd w:val="0"/>
        <w:spacing w:before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001">
        <w:rPr>
          <w:rFonts w:ascii="Times New Roman" w:hAnsi="Times New Roman"/>
          <w:sz w:val="28"/>
          <w:szCs w:val="28"/>
          <w:lang w:val="ru-RU"/>
        </w:rPr>
        <w:t xml:space="preserve">Устранению существующего противоречия может способствовать следующее решение, предлагаемое настоящим законопроектом: замена в </w:t>
      </w:r>
      <w:r w:rsidR="004C21D6">
        <w:rPr>
          <w:rFonts w:ascii="Times New Roman" w:hAnsi="Times New Roman"/>
          <w:sz w:val="28"/>
          <w:szCs w:val="28"/>
          <w:lang w:val="ru-RU"/>
        </w:rPr>
        <w:t>налоговом законодательстве</w:t>
      </w:r>
      <w:r w:rsidRPr="00E94001">
        <w:rPr>
          <w:rFonts w:ascii="Times New Roman" w:hAnsi="Times New Roman"/>
          <w:sz w:val="28"/>
          <w:szCs w:val="28"/>
          <w:lang w:val="ru-RU"/>
        </w:rPr>
        <w:t xml:space="preserve"> термина «научные исследования и (или) опытно-конструкторские разработки» на понятие «исследования и разработки». Предлагаемый термин точнее отражает суть работ, уже закрепленную в налоговом законодательстве для целей исчисления налога на прибыль организаций, а также соответствует принятому в мировой практике термину </w:t>
      </w:r>
      <w:proofErr w:type="spellStart"/>
      <w:r w:rsidRPr="006960F7">
        <w:rPr>
          <w:rFonts w:ascii="Times New Roman" w:hAnsi="Times New Roman"/>
          <w:i/>
          <w:sz w:val="28"/>
          <w:szCs w:val="28"/>
          <w:lang w:val="ru-RU"/>
        </w:rPr>
        <w:t>research</w:t>
      </w:r>
      <w:proofErr w:type="spellEnd"/>
      <w:r w:rsidRPr="006960F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960F7">
        <w:rPr>
          <w:rFonts w:ascii="Times New Roman" w:hAnsi="Times New Roman"/>
          <w:i/>
          <w:sz w:val="28"/>
          <w:szCs w:val="28"/>
          <w:lang w:val="ru-RU"/>
        </w:rPr>
        <w:t>and</w:t>
      </w:r>
      <w:proofErr w:type="spellEnd"/>
      <w:r w:rsidRPr="006960F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960F7">
        <w:rPr>
          <w:rFonts w:ascii="Times New Roman" w:hAnsi="Times New Roman"/>
          <w:i/>
          <w:sz w:val="28"/>
          <w:szCs w:val="28"/>
          <w:lang w:val="ru-RU"/>
        </w:rPr>
        <w:t>development</w:t>
      </w:r>
      <w:proofErr w:type="spellEnd"/>
      <w:r w:rsidR="006960F7">
        <w:rPr>
          <w:rFonts w:ascii="Times New Roman" w:hAnsi="Times New Roman"/>
          <w:sz w:val="28"/>
          <w:szCs w:val="28"/>
          <w:lang w:val="ru-RU"/>
        </w:rPr>
        <w:t xml:space="preserve">, закрепленному в методологической практике </w:t>
      </w:r>
      <w:r w:rsidR="006960F7" w:rsidRPr="006960F7">
        <w:rPr>
          <w:rFonts w:ascii="Times New Roman" w:hAnsi="Times New Roman"/>
          <w:sz w:val="28"/>
          <w:szCs w:val="28"/>
          <w:lang w:val="ru-RU"/>
        </w:rPr>
        <w:t>Организации по экономичес</w:t>
      </w:r>
      <w:r w:rsidR="006960F7">
        <w:rPr>
          <w:rFonts w:ascii="Times New Roman" w:hAnsi="Times New Roman"/>
          <w:sz w:val="28"/>
          <w:szCs w:val="28"/>
          <w:lang w:val="ru-RU"/>
        </w:rPr>
        <w:t xml:space="preserve">кому сотрудничеству и развитию </w:t>
      </w:r>
      <w:r w:rsidR="006960F7" w:rsidRPr="006960F7">
        <w:rPr>
          <w:rFonts w:ascii="Times New Roman" w:hAnsi="Times New Roman"/>
          <w:sz w:val="28"/>
          <w:szCs w:val="28"/>
        </w:rPr>
        <w:t>(«</w:t>
      </w:r>
      <w:r w:rsidR="006960F7" w:rsidRPr="006960F7">
        <w:rPr>
          <w:rFonts w:ascii="Times New Roman" w:hAnsi="Times New Roman"/>
          <w:sz w:val="28"/>
          <w:szCs w:val="28"/>
          <w:lang w:val="ru-RU"/>
        </w:rPr>
        <w:t>Руководство</w:t>
      </w:r>
      <w:r w:rsidR="006960F7" w:rsidRPr="0069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F7" w:rsidRPr="006960F7">
        <w:rPr>
          <w:rFonts w:ascii="Times New Roman" w:hAnsi="Times New Roman"/>
          <w:sz w:val="28"/>
          <w:szCs w:val="28"/>
          <w:lang w:val="ru-RU"/>
        </w:rPr>
        <w:t>Фраскати</w:t>
      </w:r>
      <w:proofErr w:type="spellEnd"/>
      <w:r w:rsidR="006960F7" w:rsidRPr="006960F7">
        <w:rPr>
          <w:rFonts w:ascii="Times New Roman" w:hAnsi="Times New Roman"/>
          <w:sz w:val="28"/>
          <w:szCs w:val="28"/>
        </w:rPr>
        <w:t>», (</w:t>
      </w:r>
      <w:proofErr w:type="spellStart"/>
      <w:r w:rsidR="006960F7" w:rsidRPr="006960F7">
        <w:rPr>
          <w:rFonts w:ascii="Times New Roman" w:hAnsi="Times New Roman"/>
          <w:sz w:val="28"/>
          <w:szCs w:val="28"/>
        </w:rPr>
        <w:t>Frascati</w:t>
      </w:r>
      <w:proofErr w:type="spellEnd"/>
      <w:r w:rsidR="006960F7" w:rsidRPr="006960F7">
        <w:rPr>
          <w:rFonts w:ascii="Times New Roman" w:hAnsi="Times New Roman"/>
          <w:sz w:val="28"/>
          <w:szCs w:val="28"/>
        </w:rPr>
        <w:t xml:space="preserve"> Manual: Proposed Standard Practice for Surveys on Research and Experimental Development)). </w:t>
      </w:r>
    </w:p>
    <w:p w14:paraId="3A73AE7F" w14:textId="3D61A317" w:rsidR="00E31DDA" w:rsidRPr="006960F7" w:rsidRDefault="00E31DDA" w:rsidP="00E94001">
      <w:pPr>
        <w:autoSpaceDE w:val="0"/>
        <w:autoSpaceDN w:val="0"/>
        <w:adjustRightInd w:val="0"/>
        <w:spacing w:before="6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60F7">
        <w:rPr>
          <w:rFonts w:ascii="Times New Roman" w:hAnsi="Times New Roman"/>
          <w:sz w:val="28"/>
          <w:szCs w:val="28"/>
          <w:lang w:val="ru-RU"/>
        </w:rPr>
        <w:t>Такая корректировка избавит налогоплательщика от необходимости доказывать общенаучную значимость и на</w:t>
      </w:r>
      <w:r w:rsidR="004C21D6">
        <w:rPr>
          <w:rFonts w:ascii="Times New Roman" w:hAnsi="Times New Roman"/>
          <w:sz w:val="28"/>
          <w:szCs w:val="28"/>
          <w:lang w:val="ru-RU"/>
        </w:rPr>
        <w:t xml:space="preserve">учную новизну результатов работ, </w:t>
      </w:r>
      <w:r w:rsidRPr="006960F7">
        <w:rPr>
          <w:rFonts w:ascii="Times New Roman" w:hAnsi="Times New Roman"/>
          <w:sz w:val="28"/>
          <w:szCs w:val="28"/>
          <w:lang w:val="ru-RU"/>
        </w:rPr>
        <w:t xml:space="preserve">поскольку целью работ является создание новой или усовершенствование существующей продукции, услуг, технологий, методов организации </w:t>
      </w:r>
      <w:r w:rsidRPr="006960F7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производства и управления для решения задач конкретной организации. При этом, сфера применения </w:t>
      </w:r>
      <w:r w:rsidR="004C21D6">
        <w:rPr>
          <w:rFonts w:ascii="Times New Roman" w:hAnsi="Times New Roman"/>
          <w:sz w:val="28"/>
          <w:szCs w:val="28"/>
          <w:lang w:val="ru-RU"/>
        </w:rPr>
        <w:t>меры поддержки</w:t>
      </w:r>
      <w:r w:rsidRPr="006960F7">
        <w:rPr>
          <w:rFonts w:ascii="Times New Roman" w:hAnsi="Times New Roman"/>
          <w:sz w:val="28"/>
          <w:szCs w:val="28"/>
          <w:lang w:val="ru-RU"/>
        </w:rPr>
        <w:t xml:space="preserve"> будет ограничена исследованиями и разработками, включенными в перечень приоритетных разработок, что позволит избежать злоупотребления </w:t>
      </w:r>
      <w:r w:rsidR="004C21D6">
        <w:rPr>
          <w:rFonts w:ascii="Times New Roman" w:hAnsi="Times New Roman"/>
          <w:sz w:val="28"/>
          <w:szCs w:val="28"/>
          <w:lang w:val="ru-RU"/>
        </w:rPr>
        <w:t>мерой</w:t>
      </w:r>
      <w:r w:rsidRPr="006960F7">
        <w:rPr>
          <w:rFonts w:ascii="Times New Roman" w:hAnsi="Times New Roman"/>
          <w:sz w:val="28"/>
          <w:szCs w:val="28"/>
          <w:lang w:val="ru-RU"/>
        </w:rPr>
        <w:t xml:space="preserve"> в отношении нерелевантных расходов (например, на маркетинговые исследования).  </w:t>
      </w:r>
    </w:p>
    <w:p w14:paraId="2EE95718" w14:textId="0BE06DB6" w:rsidR="00481D12" w:rsidRPr="00A60ECE" w:rsidRDefault="00481D12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1D12">
        <w:rPr>
          <w:rFonts w:ascii="Times New Roman" w:hAnsi="Times New Roman"/>
          <w:sz w:val="28"/>
          <w:szCs w:val="28"/>
          <w:lang w:val="ru-RU"/>
        </w:rPr>
        <w:t xml:space="preserve">Указанные причины, а также сложившаяся практика применения </w:t>
      </w:r>
      <w:r w:rsidR="004C21D6">
        <w:rPr>
          <w:rFonts w:ascii="Times New Roman" w:hAnsi="Times New Roman"/>
          <w:sz w:val="28"/>
          <w:szCs w:val="28"/>
          <w:lang w:val="ru-RU"/>
        </w:rPr>
        <w:t>повышенного вычета</w:t>
      </w:r>
      <w:r w:rsidRPr="00481D12">
        <w:rPr>
          <w:rFonts w:ascii="Times New Roman" w:hAnsi="Times New Roman"/>
          <w:sz w:val="28"/>
          <w:szCs w:val="28"/>
          <w:lang w:val="ru-RU"/>
        </w:rPr>
        <w:t xml:space="preserve"> позволяют сделать вывод, что при сохранении действующего механизма </w:t>
      </w:r>
      <w:r w:rsidR="004C21D6">
        <w:rPr>
          <w:rFonts w:ascii="Times New Roman" w:hAnsi="Times New Roman"/>
          <w:sz w:val="28"/>
          <w:szCs w:val="28"/>
          <w:lang w:val="ru-RU"/>
        </w:rPr>
        <w:t>применения повышенного вычета расходов на НИОКР</w:t>
      </w:r>
      <w:r w:rsidRPr="00481D12">
        <w:rPr>
          <w:rFonts w:ascii="Times New Roman" w:hAnsi="Times New Roman"/>
          <w:sz w:val="28"/>
          <w:szCs w:val="28"/>
          <w:lang w:val="ru-RU"/>
        </w:rPr>
        <w:t xml:space="preserve"> без увеличения коэффициента вычета количество компаний, применяющих</w:t>
      </w:r>
      <w:r w:rsidR="004C21D6">
        <w:rPr>
          <w:rFonts w:ascii="Times New Roman" w:hAnsi="Times New Roman"/>
          <w:sz w:val="28"/>
          <w:szCs w:val="28"/>
          <w:lang w:val="ru-RU"/>
        </w:rPr>
        <w:t xml:space="preserve"> меру</w:t>
      </w:r>
      <w:r w:rsidRPr="00481D12">
        <w:rPr>
          <w:rFonts w:ascii="Times New Roman" w:hAnsi="Times New Roman"/>
          <w:sz w:val="28"/>
          <w:szCs w:val="28"/>
          <w:lang w:val="ru-RU"/>
        </w:rPr>
        <w:t>, не будет увеличиваться.</w:t>
      </w:r>
      <w:r w:rsidR="00A60ECE">
        <w:rPr>
          <w:rFonts w:ascii="Times New Roman" w:hAnsi="Times New Roman"/>
          <w:sz w:val="28"/>
          <w:szCs w:val="28"/>
          <w:lang w:val="ru-RU"/>
        </w:rPr>
        <w:t xml:space="preserve"> Это означает, что </w:t>
      </w:r>
      <w:r w:rsidR="00A60ECE" w:rsidRPr="00A60ECE">
        <w:rPr>
          <w:rFonts w:ascii="Times New Roman" w:hAnsi="Times New Roman"/>
          <w:sz w:val="28"/>
          <w:szCs w:val="28"/>
          <w:lang w:val="ru-RU"/>
        </w:rPr>
        <w:t xml:space="preserve">доля расходов </w:t>
      </w:r>
      <w:r w:rsidR="00A60ECE">
        <w:rPr>
          <w:rFonts w:ascii="Times New Roman" w:hAnsi="Times New Roman"/>
          <w:sz w:val="28"/>
          <w:szCs w:val="28"/>
          <w:lang w:val="ru-RU"/>
        </w:rPr>
        <w:t>хозяйствующих субъектов</w:t>
      </w:r>
      <w:r w:rsidR="00A60ECE" w:rsidRPr="00A60ECE">
        <w:rPr>
          <w:rFonts w:ascii="Times New Roman" w:hAnsi="Times New Roman"/>
          <w:sz w:val="28"/>
          <w:szCs w:val="28"/>
          <w:lang w:val="ru-RU"/>
        </w:rPr>
        <w:t xml:space="preserve"> на НИОКР </w:t>
      </w:r>
      <w:r w:rsidR="00A60ECE">
        <w:rPr>
          <w:rFonts w:ascii="Times New Roman" w:hAnsi="Times New Roman"/>
          <w:sz w:val="28"/>
          <w:szCs w:val="28"/>
          <w:lang w:val="ru-RU"/>
        </w:rPr>
        <w:t>в Российской Федерации не изменится (порядка 30 процентов</w:t>
      </w:r>
      <w:r w:rsidR="00A60ECE" w:rsidRPr="00A60ECE">
        <w:rPr>
          <w:rFonts w:ascii="Times New Roman" w:hAnsi="Times New Roman"/>
          <w:sz w:val="28"/>
          <w:szCs w:val="28"/>
          <w:lang w:val="ru-RU"/>
        </w:rPr>
        <w:t xml:space="preserve"> общих расходов</w:t>
      </w:r>
      <w:r w:rsidR="00A60ECE">
        <w:rPr>
          <w:rFonts w:ascii="Times New Roman" w:hAnsi="Times New Roman"/>
          <w:sz w:val="28"/>
          <w:szCs w:val="28"/>
          <w:lang w:val="ru-RU"/>
        </w:rPr>
        <w:t xml:space="preserve"> на НИОКР) при существенном объеме прямых государственных расходов (порядка 70 процентов). При этом, в </w:t>
      </w:r>
      <w:r w:rsidR="00A60ECE" w:rsidRPr="00A60ECE">
        <w:rPr>
          <w:rFonts w:ascii="Times New Roman" w:hAnsi="Times New Roman"/>
          <w:sz w:val="28"/>
          <w:szCs w:val="28"/>
          <w:lang w:val="ru-RU"/>
        </w:rPr>
        <w:t>странах, занимающих лидирующие позиции в рейтингах Глобального инновационного индекса</w:t>
      </w:r>
      <w:r w:rsidR="00A60ECE">
        <w:rPr>
          <w:rFonts w:ascii="Times New Roman" w:hAnsi="Times New Roman"/>
          <w:sz w:val="28"/>
          <w:szCs w:val="28"/>
          <w:lang w:val="ru-RU"/>
        </w:rPr>
        <w:t xml:space="preserve">, внедривших такую меру стимулирования расходов частного сектора на НИОКР, финансирование разработок осуществляется за счет </w:t>
      </w:r>
      <w:r w:rsidR="009C2C58">
        <w:rPr>
          <w:rFonts w:ascii="Times New Roman" w:hAnsi="Times New Roman"/>
          <w:sz w:val="28"/>
          <w:szCs w:val="28"/>
          <w:lang w:val="ru-RU"/>
        </w:rPr>
        <w:t>бизнеса.</w:t>
      </w:r>
    </w:p>
    <w:p w14:paraId="13A6E3B4" w14:textId="697FF87C" w:rsidR="001E208F" w:rsidRPr="006B3675" w:rsidRDefault="009C2C58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Повышенный вычет расходов на НИОКР</w:t>
      </w:r>
      <w:r w:rsidR="00A241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1C7" w:rsidRPr="00A241C7">
        <w:rPr>
          <w:rFonts w:ascii="Times New Roman" w:hAnsi="Times New Roman"/>
          <w:sz w:val="28"/>
          <w:szCs w:val="28"/>
          <w:lang w:val="ru-RU"/>
        </w:rPr>
        <w:t>успешно применяется в 18 странах мира, в том числе, в Великобритании, Китае, Чехии, Сингапуре</w:t>
      </w:r>
      <w:r w:rsidR="00A241C7">
        <w:rPr>
          <w:rFonts w:ascii="Times New Roman" w:hAnsi="Times New Roman"/>
          <w:sz w:val="28"/>
          <w:szCs w:val="28"/>
          <w:lang w:val="ru-RU"/>
        </w:rPr>
        <w:t>, Бельгии, Канаде.</w:t>
      </w:r>
      <w:r w:rsidR="004C2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675">
        <w:rPr>
          <w:rFonts w:ascii="Times New Roman" w:hAnsi="Times New Roman"/>
          <w:sz w:val="28"/>
          <w:szCs w:val="28"/>
          <w:lang w:val="ru-RU"/>
        </w:rPr>
        <w:t>Опыт Великобритании</w:t>
      </w:r>
      <w:r w:rsidR="00E0544C">
        <w:rPr>
          <w:rFonts w:ascii="Times New Roman" w:hAnsi="Times New Roman"/>
          <w:sz w:val="28"/>
          <w:szCs w:val="28"/>
          <w:lang w:val="ru-RU"/>
        </w:rPr>
        <w:t>, где данная мера была введена в 2001 году,</w:t>
      </w:r>
      <w:r w:rsidR="006B3675">
        <w:rPr>
          <w:rFonts w:ascii="Times New Roman" w:hAnsi="Times New Roman"/>
          <w:sz w:val="28"/>
          <w:szCs w:val="28"/>
          <w:lang w:val="ru-RU"/>
        </w:rPr>
        <w:t xml:space="preserve"> показывает</w:t>
      </w:r>
      <w:r w:rsidR="00E0544C">
        <w:rPr>
          <w:rFonts w:ascii="Times New Roman" w:hAnsi="Times New Roman"/>
          <w:sz w:val="28"/>
          <w:szCs w:val="28"/>
          <w:lang w:val="ru-RU"/>
        </w:rPr>
        <w:t xml:space="preserve"> востребованность и эффективность меры. В</w:t>
      </w:r>
      <w:r w:rsidR="004C21D6" w:rsidRPr="004C21D6">
        <w:rPr>
          <w:rFonts w:ascii="Times New Roman" w:hAnsi="Times New Roman"/>
          <w:sz w:val="28"/>
          <w:szCs w:val="28"/>
          <w:lang w:val="ru-RU"/>
        </w:rPr>
        <w:t xml:space="preserve"> 2014 г</w:t>
      </w:r>
      <w:r w:rsidR="00E0544C">
        <w:rPr>
          <w:rFonts w:ascii="Times New Roman" w:hAnsi="Times New Roman"/>
          <w:sz w:val="28"/>
          <w:szCs w:val="28"/>
          <w:lang w:val="ru-RU"/>
        </w:rPr>
        <w:t>оду повышенный вычет применялся к 83 процентам расходам бизнеса на НИОКР,</w:t>
      </w:r>
      <w:r w:rsidR="004C21D6" w:rsidRPr="004C21D6">
        <w:rPr>
          <w:rFonts w:ascii="Times New Roman" w:hAnsi="Times New Roman"/>
          <w:sz w:val="28"/>
          <w:szCs w:val="28"/>
          <w:lang w:val="ru-RU"/>
        </w:rPr>
        <w:t xml:space="preserve"> в 2015 и 2016 гг.</w:t>
      </w:r>
      <w:r w:rsidR="00E0544C">
        <w:rPr>
          <w:rFonts w:ascii="Times New Roman" w:hAnsi="Times New Roman"/>
          <w:sz w:val="28"/>
          <w:szCs w:val="28"/>
          <w:lang w:val="ru-RU"/>
        </w:rPr>
        <w:t xml:space="preserve"> - уже к 99 процентам</w:t>
      </w:r>
      <w:r w:rsidR="004C21D6" w:rsidRPr="004C21D6">
        <w:rPr>
          <w:rFonts w:ascii="Times New Roman" w:hAnsi="Times New Roman"/>
          <w:sz w:val="28"/>
          <w:szCs w:val="28"/>
          <w:lang w:val="ru-RU"/>
        </w:rPr>
        <w:t xml:space="preserve"> совокупных расходов бизнеса на НИОКР, </w:t>
      </w:r>
      <w:r w:rsidR="00E0544C">
        <w:rPr>
          <w:rFonts w:ascii="Times New Roman" w:hAnsi="Times New Roman"/>
          <w:sz w:val="28"/>
          <w:szCs w:val="28"/>
          <w:lang w:val="ru-RU"/>
        </w:rPr>
        <w:t xml:space="preserve">то есть, прирост заявляемой </w:t>
      </w:r>
      <w:r w:rsidR="004C21D6" w:rsidRPr="004C21D6">
        <w:rPr>
          <w:rFonts w:ascii="Times New Roman" w:hAnsi="Times New Roman"/>
          <w:sz w:val="28"/>
          <w:szCs w:val="28"/>
          <w:lang w:val="ru-RU"/>
        </w:rPr>
        <w:t>каждый год</w:t>
      </w:r>
      <w:r w:rsidR="00A241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44C">
        <w:rPr>
          <w:rFonts w:ascii="Times New Roman" w:hAnsi="Times New Roman"/>
          <w:sz w:val="28"/>
          <w:szCs w:val="28"/>
          <w:lang w:val="ru-RU"/>
        </w:rPr>
        <w:t xml:space="preserve">«льготы» на НИОКР по этой программе стабильно </w:t>
      </w:r>
      <w:r w:rsidR="006B3675" w:rsidRPr="006B3675">
        <w:rPr>
          <w:rFonts w:ascii="Times New Roman" w:hAnsi="Times New Roman"/>
          <w:sz w:val="28"/>
          <w:szCs w:val="28"/>
          <w:lang w:val="ru-RU"/>
        </w:rPr>
        <w:t>достигается именно за счет роста расходов компаний на НИОКР</w:t>
      </w:r>
      <w:r w:rsidR="00E0544C">
        <w:rPr>
          <w:rFonts w:ascii="Times New Roman" w:hAnsi="Times New Roman"/>
          <w:sz w:val="28"/>
          <w:szCs w:val="28"/>
          <w:lang w:val="ru-RU"/>
        </w:rPr>
        <w:t>. Это же подтверждают статистические данные по снижению в Великобритании доли прямых расходов государства на НИОКР (</w:t>
      </w:r>
      <w:r w:rsidR="00E0544C" w:rsidRPr="00E0544C">
        <w:rPr>
          <w:rFonts w:ascii="Times New Roman" w:hAnsi="Times New Roman"/>
          <w:sz w:val="28"/>
          <w:szCs w:val="28"/>
          <w:lang w:val="ru-RU"/>
        </w:rPr>
        <w:t>30.5</w:t>
      </w:r>
      <w:r w:rsidR="00E0544C">
        <w:rPr>
          <w:rFonts w:ascii="Times New Roman" w:hAnsi="Times New Roman"/>
          <w:sz w:val="28"/>
          <w:szCs w:val="28"/>
          <w:lang w:val="ru-RU"/>
        </w:rPr>
        <w:t xml:space="preserve"> процентов в 2011 году и </w:t>
      </w:r>
      <w:r w:rsidR="00E0544C" w:rsidRPr="00E0544C">
        <w:rPr>
          <w:rFonts w:ascii="Times New Roman" w:hAnsi="Times New Roman"/>
          <w:sz w:val="28"/>
          <w:szCs w:val="28"/>
          <w:lang w:val="ru-RU"/>
        </w:rPr>
        <w:t>27.9</w:t>
      </w:r>
      <w:r w:rsidR="00E0544C">
        <w:rPr>
          <w:rFonts w:ascii="Times New Roman" w:hAnsi="Times New Roman"/>
          <w:sz w:val="28"/>
          <w:szCs w:val="28"/>
          <w:lang w:val="ru-RU"/>
        </w:rPr>
        <w:t xml:space="preserve"> процентов в 2015 году) при росте финансирования разработок за счет частного сектора. </w:t>
      </w:r>
    </w:p>
    <w:p w14:paraId="25CBE4C5" w14:textId="77777777" w:rsidR="001B4255" w:rsidRDefault="001B4255" w:rsidP="001B4255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79F1">
        <w:rPr>
          <w:rFonts w:ascii="Times New Roman" w:hAnsi="Times New Roman"/>
          <w:b/>
          <w:sz w:val="28"/>
          <w:szCs w:val="28"/>
          <w:lang w:val="ru-RU"/>
        </w:rPr>
        <w:lastRenderedPageBreak/>
        <w:t>В части внесения изменений в статью 284 Налогового кодекса Российской Федерации для введения в России режима пониженного налогообложения доходов от распоряжения правами на результаты интеллектуальной деятельности (</w:t>
      </w:r>
      <w:proofErr w:type="spellStart"/>
      <w:r w:rsidRPr="007E79F1">
        <w:rPr>
          <w:rFonts w:ascii="Times New Roman" w:hAnsi="Times New Roman"/>
          <w:b/>
          <w:sz w:val="28"/>
          <w:szCs w:val="28"/>
          <w:lang w:val="ru-RU"/>
        </w:rPr>
        <w:t>Patent</w:t>
      </w:r>
      <w:proofErr w:type="spellEnd"/>
      <w:r w:rsidRPr="007E79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E79F1">
        <w:rPr>
          <w:rFonts w:ascii="Times New Roman" w:hAnsi="Times New Roman"/>
          <w:b/>
          <w:sz w:val="28"/>
          <w:szCs w:val="28"/>
          <w:lang w:val="ru-RU"/>
        </w:rPr>
        <w:t>Box</w:t>
      </w:r>
      <w:proofErr w:type="spellEnd"/>
      <w:r w:rsidRPr="007E79F1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E370FD">
        <w:rPr>
          <w:rFonts w:ascii="Times New Roman" w:hAnsi="Times New Roman"/>
          <w:sz w:val="28"/>
          <w:szCs w:val="28"/>
          <w:lang w:val="ru-RU"/>
        </w:rPr>
        <w:t xml:space="preserve">роектом федерального закона </w:t>
      </w:r>
      <w:r>
        <w:rPr>
          <w:rFonts w:ascii="Times New Roman" w:hAnsi="Times New Roman"/>
          <w:sz w:val="28"/>
          <w:szCs w:val="28"/>
          <w:lang w:val="ru-RU"/>
        </w:rPr>
        <w:t>предлагается</w:t>
      </w:r>
      <w:r w:rsidRPr="00E370FD">
        <w:rPr>
          <w:rFonts w:ascii="Times New Roman" w:hAnsi="Times New Roman"/>
          <w:sz w:val="28"/>
          <w:szCs w:val="28"/>
          <w:lang w:val="ru-RU"/>
        </w:rPr>
        <w:t>:</w:t>
      </w:r>
    </w:p>
    <w:p w14:paraId="1A142CBD" w14:textId="77777777" w:rsidR="001B4255" w:rsidRDefault="001B4255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B4255">
        <w:rPr>
          <w:rFonts w:ascii="Times New Roman" w:hAnsi="Times New Roman"/>
          <w:sz w:val="28"/>
          <w:szCs w:val="28"/>
          <w:lang w:val="ru-RU"/>
        </w:rPr>
        <w:t xml:space="preserve">установить ставку по налогу на </w:t>
      </w:r>
      <w:r>
        <w:rPr>
          <w:rFonts w:ascii="Times New Roman" w:hAnsi="Times New Roman"/>
          <w:sz w:val="28"/>
          <w:szCs w:val="28"/>
          <w:lang w:val="ru-RU"/>
        </w:rPr>
        <w:t>прибыль организаций в размере 5 процентов</w:t>
      </w:r>
      <w:r w:rsidRPr="001B4255">
        <w:rPr>
          <w:rFonts w:ascii="Times New Roman" w:hAnsi="Times New Roman"/>
          <w:sz w:val="28"/>
          <w:szCs w:val="28"/>
          <w:lang w:val="ru-RU"/>
        </w:rPr>
        <w:t xml:space="preserve"> в отношении доходов, полученных от распоряжения исключительными и неисключительными правами на вновь созданные результат</w:t>
      </w:r>
      <w:r>
        <w:rPr>
          <w:rFonts w:ascii="Times New Roman" w:hAnsi="Times New Roman"/>
          <w:sz w:val="28"/>
          <w:szCs w:val="28"/>
          <w:lang w:val="ru-RU"/>
        </w:rPr>
        <w:t>ы интеллектуальной деятельности</w:t>
      </w:r>
      <w:r w:rsidR="00053679">
        <w:rPr>
          <w:rFonts w:ascii="Times New Roman" w:hAnsi="Times New Roman"/>
          <w:sz w:val="28"/>
          <w:szCs w:val="28"/>
          <w:lang w:val="ru-RU"/>
        </w:rPr>
        <w:t xml:space="preserve"> в соответствии с показателем средней эффективной ставки по налогу на прибыль в отношении указанных доходов в странах, установивших такой режим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30519F7" w14:textId="77777777" w:rsidR="001B4255" w:rsidRDefault="001B4255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ограничить </w:t>
      </w:r>
      <w:r w:rsidR="007E79F1">
        <w:rPr>
          <w:rFonts w:ascii="Times New Roman" w:hAnsi="Times New Roman"/>
          <w:sz w:val="28"/>
          <w:szCs w:val="28"/>
          <w:lang w:val="ru-RU"/>
        </w:rPr>
        <w:t>применение указанной ставки в отношении прибыли, полученной от распоряжения правами на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9F1">
        <w:rPr>
          <w:rFonts w:ascii="Times New Roman" w:hAnsi="Times New Roman"/>
          <w:sz w:val="28"/>
          <w:szCs w:val="28"/>
          <w:lang w:val="ru-RU"/>
        </w:rPr>
        <w:t xml:space="preserve">вновь созданные зарегистрированные в установленном порядке 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>результаты интеллектуальной деятельности</w:t>
      </w:r>
      <w:r w:rsidR="007E79F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 xml:space="preserve">изобретения, полезные модели и промышленные образцы, </w:t>
      </w:r>
      <w:r w:rsidR="007E79F1">
        <w:rPr>
          <w:rFonts w:ascii="Times New Roman" w:hAnsi="Times New Roman"/>
          <w:sz w:val="28"/>
          <w:szCs w:val="28"/>
          <w:lang w:val="ru-RU"/>
        </w:rPr>
        <w:t xml:space="preserve">удостоверенные патентами, 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>топологии интегральных микросхем, селекционные достижения</w:t>
      </w:r>
      <w:r w:rsidR="007E79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>программы для электронных вычислительных машин, базы данных</w:t>
      </w:r>
      <w:r w:rsidR="007E79F1">
        <w:rPr>
          <w:rFonts w:ascii="Times New Roman" w:hAnsi="Times New Roman"/>
          <w:sz w:val="28"/>
          <w:szCs w:val="28"/>
          <w:lang w:val="ru-RU"/>
        </w:rPr>
        <w:t>);</w:t>
      </w:r>
    </w:p>
    <w:p w14:paraId="45C1E143" w14:textId="77777777" w:rsidR="007E79F1" w:rsidRDefault="00CF7290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ограничить применение указанного режима в отношении доходов от приобретенных организацией результатов интеллектуальной деятельности и  установить, что такие результаты 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 xml:space="preserve">интеллектуальной </w:t>
      </w:r>
      <w:r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должны быть созданы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организацией</w:t>
      </w:r>
      <w:r w:rsidR="007E79F1" w:rsidRPr="007E79F1">
        <w:rPr>
          <w:rFonts w:ascii="Times New Roman" w:hAnsi="Times New Roman"/>
          <w:sz w:val="28"/>
          <w:szCs w:val="28"/>
          <w:lang w:val="ru-RU"/>
        </w:rPr>
        <w:t xml:space="preserve"> собственными силами или с привлечением подрядчиков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EC478E8" w14:textId="5B5E2912" w:rsidR="00CB1AF8" w:rsidRDefault="00CB1AF8" w:rsidP="00831BF4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1AF8">
        <w:rPr>
          <w:rFonts w:ascii="Times New Roman" w:hAnsi="Times New Roman"/>
          <w:sz w:val="28"/>
          <w:szCs w:val="28"/>
          <w:lang w:val="ru-RU"/>
        </w:rPr>
        <w:t xml:space="preserve">На сегодняшний день в России отсутствует </w:t>
      </w:r>
      <w:r>
        <w:rPr>
          <w:rFonts w:ascii="Times New Roman" w:hAnsi="Times New Roman"/>
          <w:sz w:val="28"/>
          <w:szCs w:val="28"/>
          <w:lang w:val="ru-RU"/>
        </w:rPr>
        <w:t>преференциальный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 режим налогообложения доходов от использования результатов интеллектуальной деятельности и распоряжения правами на эти результаты интеллектуальной деятельности. В мировой практике данный режим известен как «патентная коробка» (</w:t>
      </w:r>
      <w:proofErr w:type="spellStart"/>
      <w:r w:rsidRPr="00CB1AF8">
        <w:rPr>
          <w:rFonts w:ascii="Times New Roman" w:hAnsi="Times New Roman"/>
          <w:sz w:val="28"/>
          <w:szCs w:val="28"/>
          <w:lang w:val="ru-RU"/>
        </w:rPr>
        <w:t>Patent</w:t>
      </w:r>
      <w:proofErr w:type="spellEnd"/>
      <w:r w:rsidRPr="00CB1A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B1AF8">
        <w:rPr>
          <w:rFonts w:ascii="Times New Roman" w:hAnsi="Times New Roman"/>
          <w:sz w:val="28"/>
          <w:szCs w:val="28"/>
          <w:lang w:val="ru-RU"/>
        </w:rPr>
        <w:t>Box</w:t>
      </w:r>
      <w:proofErr w:type="spellEnd"/>
      <w:r w:rsidRPr="00CB1AF8">
        <w:rPr>
          <w:rFonts w:ascii="Times New Roman" w:hAnsi="Times New Roman"/>
          <w:sz w:val="28"/>
          <w:szCs w:val="28"/>
          <w:lang w:val="ru-RU"/>
        </w:rPr>
        <w:t>). В отличие от повышенного вычета расходов на НИОКР, который направле</w:t>
      </w:r>
      <w:r>
        <w:rPr>
          <w:rFonts w:ascii="Times New Roman" w:hAnsi="Times New Roman"/>
          <w:sz w:val="28"/>
          <w:szCs w:val="28"/>
          <w:lang w:val="ru-RU"/>
        </w:rPr>
        <w:t xml:space="preserve">н на 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поддержку начальных стадий цикла НИОКР, </w:t>
      </w:r>
      <w:r w:rsidRPr="00CB1AF8">
        <w:rPr>
          <w:rFonts w:ascii="Times New Roman" w:hAnsi="Times New Roman"/>
          <w:sz w:val="28"/>
          <w:szCs w:val="28"/>
          <w:lang w:val="ru-RU"/>
        </w:rPr>
        <w:lastRenderedPageBreak/>
        <w:t>режим пониженного налогообложения доходов от распоряжения правами на результаты интеллектуальной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снижает для налогоплательщиков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 бремя по налогу на прибыль при коммерциализации результатов НИОКР. В Российской Федерации в отношении таких доходов используется </w:t>
      </w:r>
      <w:r>
        <w:rPr>
          <w:rFonts w:ascii="Times New Roman" w:hAnsi="Times New Roman"/>
          <w:sz w:val="28"/>
          <w:szCs w:val="28"/>
          <w:lang w:val="ru-RU"/>
        </w:rPr>
        <w:t xml:space="preserve">общая </w:t>
      </w:r>
      <w:r w:rsidRPr="00CB1AF8">
        <w:rPr>
          <w:rFonts w:ascii="Times New Roman" w:hAnsi="Times New Roman"/>
          <w:sz w:val="28"/>
          <w:szCs w:val="28"/>
          <w:lang w:val="ru-RU"/>
        </w:rPr>
        <w:t>ставка по</w:t>
      </w:r>
      <w:r>
        <w:rPr>
          <w:rFonts w:ascii="Times New Roman" w:hAnsi="Times New Roman"/>
          <w:sz w:val="28"/>
          <w:szCs w:val="28"/>
          <w:lang w:val="ru-RU"/>
        </w:rPr>
        <w:t xml:space="preserve"> налогу на прибыль в размере 20 процентов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, что значительно превышает ставки стран-лидеров рейтингов инновационного развития, использующих </w:t>
      </w:r>
      <w:r w:rsidR="007D7A41">
        <w:rPr>
          <w:rFonts w:ascii="Times New Roman" w:hAnsi="Times New Roman"/>
          <w:sz w:val="28"/>
          <w:szCs w:val="28"/>
          <w:lang w:val="ru-RU"/>
        </w:rPr>
        <w:t>«</w:t>
      </w:r>
      <w:r w:rsidRPr="00CB1AF8">
        <w:rPr>
          <w:rFonts w:ascii="Times New Roman" w:hAnsi="Times New Roman"/>
          <w:sz w:val="28"/>
          <w:szCs w:val="28"/>
          <w:lang w:val="ru-RU"/>
        </w:rPr>
        <w:t>льготный</w:t>
      </w:r>
      <w:r w:rsidR="007D7A41">
        <w:rPr>
          <w:rFonts w:ascii="Times New Roman" w:hAnsi="Times New Roman"/>
          <w:sz w:val="28"/>
          <w:szCs w:val="28"/>
          <w:lang w:val="ru-RU"/>
        </w:rPr>
        <w:t>»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 режим налогообложения доходов.</w:t>
      </w:r>
    </w:p>
    <w:p w14:paraId="5B69AF52" w14:textId="77777777" w:rsidR="00CB1AF8" w:rsidRPr="00CB1AF8" w:rsidRDefault="00CB1AF8" w:rsidP="00CB1AF8">
      <w:pPr>
        <w:spacing w:before="6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1AF8">
        <w:rPr>
          <w:rFonts w:ascii="Times New Roman" w:hAnsi="Times New Roman"/>
          <w:bCs/>
          <w:sz w:val="28"/>
          <w:szCs w:val="28"/>
          <w:lang w:val="ru-RU"/>
        </w:rPr>
        <w:t>Отсутствие такого режима в Российской Федерации при одновременной популярности такой меры поддержки в ряде стран (Великобритания, Бельгия, Франция, Австрия, Ирландия, Нидерланды, Южная Корея, Китай) вызывает следующие негативные последствия для развития экономики страны:</w:t>
      </w:r>
    </w:p>
    <w:p w14:paraId="0077B6C8" w14:textId="5602BB2B" w:rsidR="00CB1AF8" w:rsidRPr="00CB1AF8" w:rsidRDefault="00CB1AF8" w:rsidP="00E94001">
      <w:pPr>
        <w:spacing w:before="6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1AF8">
        <w:rPr>
          <w:rFonts w:ascii="Times New Roman" w:hAnsi="Times New Roman"/>
          <w:sz w:val="28"/>
          <w:szCs w:val="28"/>
          <w:lang w:val="ru-RU"/>
        </w:rPr>
        <w:t xml:space="preserve">высокая налоговая нагрузка на компании-налоговые резиденты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 w:rsidRPr="00CB1AF8">
        <w:rPr>
          <w:rFonts w:ascii="Times New Roman" w:hAnsi="Times New Roman"/>
          <w:sz w:val="28"/>
          <w:szCs w:val="28"/>
          <w:lang w:val="ru-RU"/>
        </w:rPr>
        <w:t>по сравнению с другими юрисдикциями;</w:t>
      </w:r>
    </w:p>
    <w:p w14:paraId="0BABCFE8" w14:textId="0878DC06" w:rsidR="00CB1AF8" w:rsidRPr="00CB1AF8" w:rsidRDefault="00CB1AF8" w:rsidP="00E94001">
      <w:pPr>
        <w:spacing w:before="6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1AF8">
        <w:rPr>
          <w:rFonts w:ascii="Times New Roman" w:hAnsi="Times New Roman"/>
          <w:sz w:val="28"/>
          <w:szCs w:val="28"/>
          <w:lang w:val="ru-RU"/>
        </w:rPr>
        <w:t xml:space="preserve">потери бюджетной системы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 w:rsidRPr="00CB1AF8">
        <w:rPr>
          <w:rFonts w:ascii="Times New Roman" w:hAnsi="Times New Roman"/>
          <w:sz w:val="28"/>
          <w:szCs w:val="28"/>
          <w:lang w:val="ru-RU"/>
        </w:rPr>
        <w:t>по налогу на прибыль при переходе</w:t>
      </w:r>
      <w:r>
        <w:rPr>
          <w:rFonts w:ascii="Times New Roman" w:hAnsi="Times New Roman"/>
          <w:sz w:val="28"/>
          <w:szCs w:val="28"/>
          <w:lang w:val="ru-RU"/>
        </w:rPr>
        <w:t xml:space="preserve"> российских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 компаний в низконалоговые юрисдикции;</w:t>
      </w:r>
    </w:p>
    <w:p w14:paraId="5953A211" w14:textId="77777777" w:rsidR="00CB1AF8" w:rsidRPr="00CB1AF8" w:rsidRDefault="00CB1AF8" w:rsidP="00E94001">
      <w:pPr>
        <w:spacing w:before="6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1AF8">
        <w:rPr>
          <w:rFonts w:ascii="Times New Roman" w:hAnsi="Times New Roman"/>
          <w:sz w:val="28"/>
          <w:szCs w:val="28"/>
          <w:lang w:val="ru-RU"/>
        </w:rPr>
        <w:t>отток интеллектуальной собственности в юрисдикции со льготным режимом налогообложения РИД;</w:t>
      </w:r>
    </w:p>
    <w:p w14:paraId="787D40A6" w14:textId="77777777" w:rsidR="00CB1AF8" w:rsidRPr="00CB1AF8" w:rsidRDefault="00CB1AF8" w:rsidP="00E94001">
      <w:pPr>
        <w:spacing w:before="6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CB1AF8">
        <w:rPr>
          <w:rFonts w:ascii="Times New Roman" w:hAnsi="Times New Roman"/>
          <w:sz w:val="28"/>
          <w:szCs w:val="28"/>
          <w:lang w:val="ru-RU"/>
        </w:rPr>
        <w:t>снижение активности по регистрации патентов.</w:t>
      </w:r>
    </w:p>
    <w:p w14:paraId="78261A0F" w14:textId="38B0ACC3" w:rsidR="00CB1AF8" w:rsidRPr="00CB1AF8" w:rsidRDefault="00CB1AF8" w:rsidP="00CB1AF8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1AF8">
        <w:rPr>
          <w:rFonts w:ascii="Times New Roman" w:hAnsi="Times New Roman"/>
          <w:sz w:val="28"/>
          <w:szCs w:val="28"/>
          <w:lang w:val="ru-RU"/>
        </w:rPr>
        <w:t>Учитывая высокую степень мобильности объектов интеллектуальной собственности и возможность организации владения ими через компании в других страна</w:t>
      </w:r>
      <w:r>
        <w:rPr>
          <w:rFonts w:ascii="Times New Roman" w:hAnsi="Times New Roman"/>
          <w:sz w:val="28"/>
          <w:szCs w:val="28"/>
          <w:lang w:val="ru-RU"/>
        </w:rPr>
        <w:t xml:space="preserve">х, российские налогоплательщики - </w:t>
      </w:r>
      <w:r w:rsidRPr="00CB1AF8">
        <w:rPr>
          <w:rFonts w:ascii="Times New Roman" w:hAnsi="Times New Roman"/>
          <w:sz w:val="28"/>
          <w:szCs w:val="28"/>
          <w:lang w:val="ru-RU"/>
        </w:rPr>
        <w:t>субъекты цифровой экономики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 зачастую используют прочие юрисдикции для владения такими объектами, при этом фактическая разработка объектов интеллектуальной собственности может вестись из России. Предпочтение отдаётся юрисдикциям, предоставляющим </w:t>
      </w:r>
      <w:r w:rsidR="007D7A41">
        <w:rPr>
          <w:rFonts w:ascii="Times New Roman" w:hAnsi="Times New Roman"/>
          <w:sz w:val="28"/>
          <w:szCs w:val="28"/>
          <w:lang w:val="ru-RU"/>
        </w:rPr>
        <w:t>«</w:t>
      </w:r>
      <w:r w:rsidRPr="00CB1AF8">
        <w:rPr>
          <w:rFonts w:ascii="Times New Roman" w:hAnsi="Times New Roman"/>
          <w:sz w:val="28"/>
          <w:szCs w:val="28"/>
          <w:lang w:val="ru-RU"/>
        </w:rPr>
        <w:t>льготные</w:t>
      </w:r>
      <w:r w:rsidR="007D7A41">
        <w:rPr>
          <w:rFonts w:ascii="Times New Roman" w:hAnsi="Times New Roman"/>
          <w:sz w:val="28"/>
          <w:szCs w:val="28"/>
          <w:lang w:val="ru-RU"/>
        </w:rPr>
        <w:t>»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 режимы владения интеллектуальной собственностью.</w:t>
      </w:r>
    </w:p>
    <w:p w14:paraId="68C2B818" w14:textId="0768CBFE" w:rsidR="00CB1AF8" w:rsidRPr="00CB1AF8" w:rsidRDefault="00CB1AF8" w:rsidP="00CB1AF8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1AF8">
        <w:rPr>
          <w:rFonts w:ascii="Times New Roman" w:hAnsi="Times New Roman"/>
          <w:sz w:val="28"/>
          <w:szCs w:val="28"/>
          <w:lang w:val="ru-RU"/>
        </w:rPr>
        <w:t xml:space="preserve">Начиная с 2015 года в налоговом законодательстве в рамках процесса </w:t>
      </w:r>
      <w:proofErr w:type="spellStart"/>
      <w:r w:rsidRPr="00CB1AF8">
        <w:rPr>
          <w:rFonts w:ascii="Times New Roman" w:hAnsi="Times New Roman"/>
          <w:sz w:val="28"/>
          <w:szCs w:val="28"/>
          <w:lang w:val="ru-RU"/>
        </w:rPr>
        <w:t>деофшоризации</w:t>
      </w:r>
      <w:proofErr w:type="spellEnd"/>
      <w:r w:rsidRPr="00CB1AF8">
        <w:rPr>
          <w:rFonts w:ascii="Times New Roman" w:hAnsi="Times New Roman"/>
          <w:sz w:val="28"/>
          <w:szCs w:val="28"/>
          <w:lang w:val="ru-RU"/>
        </w:rPr>
        <w:t xml:space="preserve"> были введены новые правила налогообложения прибыли от </w:t>
      </w:r>
      <w:r w:rsidRPr="00CB1AF8"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использования объектов интеллектуальной собственности, расположенных за рубежом. Эти правила позволяют облагать такую прибыль налогом в российской юрисдикции, что снижает привлекательность размещения объектов интеллектуальной собственности за пределами России. Вместе с этим, только лишь пакета мер по </w:t>
      </w:r>
      <w:proofErr w:type="spellStart"/>
      <w:r w:rsidRPr="00CB1AF8">
        <w:rPr>
          <w:rFonts w:ascii="Times New Roman" w:hAnsi="Times New Roman"/>
          <w:sz w:val="28"/>
          <w:szCs w:val="28"/>
          <w:lang w:val="ru-RU"/>
        </w:rPr>
        <w:t>деофшоризации</w:t>
      </w:r>
      <w:proofErr w:type="spellEnd"/>
      <w:r w:rsidRPr="00CB1AF8">
        <w:rPr>
          <w:rFonts w:ascii="Times New Roman" w:hAnsi="Times New Roman"/>
          <w:sz w:val="28"/>
          <w:szCs w:val="28"/>
          <w:lang w:val="ru-RU"/>
        </w:rPr>
        <w:t xml:space="preserve"> недостаточно, чтобы эффективным образом влиять на тенденцию расположения объектов интеллектуальной собственности за границей. В сложившейся ситуации введение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предлагаемого </w:t>
      </w:r>
      <w:r w:rsidRPr="00CB1AF8">
        <w:rPr>
          <w:rFonts w:ascii="Times New Roman" w:hAnsi="Times New Roman"/>
          <w:sz w:val="28"/>
          <w:szCs w:val="28"/>
          <w:lang w:val="ru-RU"/>
        </w:rPr>
        <w:t xml:space="preserve">режима в Российской Федерации в дополнение к пакету </w:t>
      </w:r>
      <w:proofErr w:type="spellStart"/>
      <w:r w:rsidRPr="00CB1AF8">
        <w:rPr>
          <w:rFonts w:ascii="Times New Roman" w:hAnsi="Times New Roman"/>
          <w:sz w:val="28"/>
          <w:szCs w:val="28"/>
          <w:lang w:val="ru-RU"/>
        </w:rPr>
        <w:t>деофшоризационных</w:t>
      </w:r>
      <w:proofErr w:type="spellEnd"/>
      <w:r w:rsidRPr="00CB1AF8">
        <w:rPr>
          <w:rFonts w:ascii="Times New Roman" w:hAnsi="Times New Roman"/>
          <w:sz w:val="28"/>
          <w:szCs w:val="28"/>
          <w:lang w:val="ru-RU"/>
        </w:rPr>
        <w:t xml:space="preserve"> законов будет стимулировать налогоплательщиков размещать объекты интеллектуальной собственности в компаниях, признаваемых российскими налоговыми резидентами.</w:t>
      </w:r>
    </w:p>
    <w:p w14:paraId="40491E91" w14:textId="2C6A8D61" w:rsidR="00401F3C" w:rsidRPr="00401F3C" w:rsidRDefault="00CB1AF8" w:rsidP="00401F3C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Предлагаемые законопроектом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F3C">
        <w:rPr>
          <w:rFonts w:ascii="Times New Roman" w:hAnsi="Times New Roman"/>
          <w:sz w:val="28"/>
          <w:szCs w:val="28"/>
          <w:lang w:val="ru-RU"/>
        </w:rPr>
        <w:t>параметры</w:t>
      </w:r>
      <w:r w:rsidR="00401F3C"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полностью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соответствуют положениям Программы борьбы с размытием налоговой базы и переносом прибыли, которая была принята в 2015 году Организацией по экономическому сотрудничеству и развитию</w:t>
      </w:r>
      <w:r w:rsidR="00053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и</w:t>
      </w:r>
      <w:r w:rsidR="00053679">
        <w:rPr>
          <w:rFonts w:ascii="Times New Roman" w:hAnsi="Times New Roman"/>
          <w:sz w:val="28"/>
          <w:szCs w:val="28"/>
          <w:lang w:val="ru-RU"/>
        </w:rPr>
        <w:t xml:space="preserve"> «большой двадцаткой» (далее - п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рограмма). Предусмотренная </w:t>
      </w:r>
      <w:r w:rsidR="00053679">
        <w:rPr>
          <w:rFonts w:ascii="Times New Roman" w:hAnsi="Times New Roman"/>
          <w:sz w:val="28"/>
          <w:szCs w:val="28"/>
          <w:lang w:val="ru-RU"/>
        </w:rPr>
        <w:t>п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рограммой методология выявления и предотвращения вредоносных налоговых режимов предполагает соблюдение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ряда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принципов и требований при налоговом стимулировании интеллектуальной деятельности, </w:t>
      </w:r>
      <w:r w:rsidR="00401F3C">
        <w:rPr>
          <w:rFonts w:ascii="Times New Roman" w:hAnsi="Times New Roman"/>
          <w:sz w:val="28"/>
          <w:szCs w:val="28"/>
          <w:lang w:val="ru-RU"/>
        </w:rPr>
        <w:t xml:space="preserve">например, </w:t>
      </w:r>
      <w:r w:rsidR="00401F3C" w:rsidRPr="00401F3C">
        <w:rPr>
          <w:rFonts w:ascii="Times New Roman" w:hAnsi="Times New Roman"/>
          <w:sz w:val="28"/>
          <w:szCs w:val="28"/>
          <w:lang w:val="ru-RU"/>
        </w:rPr>
        <w:t>принцип существенности действий по созданию объекта интеллектуальной деятельности (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Substantial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activity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requirements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in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the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context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of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IP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regimes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>)</w:t>
      </w:r>
      <w:r w:rsidR="00401F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1F3C" w:rsidRPr="00401F3C">
        <w:rPr>
          <w:rFonts w:ascii="Times New Roman" w:hAnsi="Times New Roman"/>
          <w:sz w:val="28"/>
          <w:szCs w:val="28"/>
          <w:lang w:val="ru-RU"/>
        </w:rPr>
        <w:t>требование к форме интеллектуальной собственности (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Qualifying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IP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assets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>)</w:t>
      </w:r>
      <w:r w:rsidR="00401F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1F3C" w:rsidRPr="00401F3C">
        <w:rPr>
          <w:rFonts w:ascii="Times New Roman" w:hAnsi="Times New Roman"/>
          <w:sz w:val="28"/>
          <w:szCs w:val="28"/>
          <w:lang w:val="ru-RU"/>
        </w:rPr>
        <w:t>требование к виду расходов (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Qualifying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1F3C" w:rsidRPr="00401F3C">
        <w:rPr>
          <w:rFonts w:ascii="Times New Roman" w:hAnsi="Times New Roman"/>
          <w:sz w:val="28"/>
          <w:szCs w:val="28"/>
          <w:lang w:val="ru-RU"/>
        </w:rPr>
        <w:t>expenditures</w:t>
      </w:r>
      <w:proofErr w:type="spellEnd"/>
      <w:r w:rsidR="00401F3C" w:rsidRPr="00401F3C">
        <w:rPr>
          <w:rFonts w:ascii="Times New Roman" w:hAnsi="Times New Roman"/>
          <w:sz w:val="28"/>
          <w:szCs w:val="28"/>
          <w:lang w:val="ru-RU"/>
        </w:rPr>
        <w:t>)</w:t>
      </w:r>
      <w:r w:rsidR="00401F3C">
        <w:rPr>
          <w:rFonts w:ascii="Times New Roman" w:hAnsi="Times New Roman"/>
          <w:sz w:val="28"/>
          <w:szCs w:val="28"/>
          <w:lang w:val="ru-RU"/>
        </w:rPr>
        <w:t xml:space="preserve"> и т.д.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F3C">
        <w:rPr>
          <w:rFonts w:ascii="Times New Roman" w:hAnsi="Times New Roman"/>
          <w:sz w:val="28"/>
          <w:szCs w:val="28"/>
          <w:lang w:val="ru-RU"/>
        </w:rPr>
        <w:t>В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водимый настоящим законопроектом режим</w:t>
      </w:r>
      <w:r w:rsidR="0040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F3C" w:rsidRPr="00CF7290">
        <w:rPr>
          <w:rFonts w:ascii="Times New Roman" w:hAnsi="Times New Roman"/>
          <w:sz w:val="28"/>
          <w:szCs w:val="28"/>
          <w:lang w:val="ru-RU"/>
        </w:rPr>
        <w:t>в необходимой мере соблюдает</w:t>
      </w:r>
      <w:r w:rsidR="00401F3C">
        <w:rPr>
          <w:rFonts w:ascii="Times New Roman" w:hAnsi="Times New Roman"/>
          <w:sz w:val="28"/>
          <w:szCs w:val="28"/>
          <w:lang w:val="ru-RU"/>
        </w:rPr>
        <w:t xml:space="preserve"> данные требования,</w:t>
      </w:r>
      <w:r w:rsidR="00401F3C"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F3C">
        <w:rPr>
          <w:rFonts w:ascii="Times New Roman" w:hAnsi="Times New Roman"/>
          <w:sz w:val="28"/>
          <w:szCs w:val="28"/>
          <w:lang w:val="ru-RU"/>
        </w:rPr>
        <w:t xml:space="preserve">а именно </w:t>
      </w:r>
      <w:r w:rsidR="007D7A41">
        <w:rPr>
          <w:rFonts w:ascii="Times New Roman" w:hAnsi="Times New Roman"/>
          <w:sz w:val="28"/>
          <w:szCs w:val="28"/>
          <w:lang w:val="ru-RU"/>
        </w:rPr>
        <w:t>предлагает применение режима в отношении</w:t>
      </w:r>
      <w:r w:rsidR="00401F3C" w:rsidRPr="00401F3C">
        <w:rPr>
          <w:rFonts w:ascii="Times New Roman" w:hAnsi="Times New Roman"/>
          <w:sz w:val="28"/>
          <w:szCs w:val="28"/>
          <w:lang w:val="ru-RU"/>
        </w:rPr>
        <w:t>:</w:t>
      </w:r>
    </w:p>
    <w:p w14:paraId="50267904" w14:textId="5C512B03" w:rsidR="00401F3C" w:rsidRPr="00401F3C" w:rsidRDefault="00401F3C" w:rsidP="00401F3C">
      <w:pPr>
        <w:spacing w:before="6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1F3C">
        <w:rPr>
          <w:rFonts w:ascii="Times New Roman" w:hAnsi="Times New Roman"/>
          <w:sz w:val="28"/>
          <w:szCs w:val="28"/>
          <w:lang w:val="ru-RU"/>
        </w:rPr>
        <w:t>только зарегистрированных результатов интеллектуальной деятельности, кроме средств индивидуализации;</w:t>
      </w:r>
    </w:p>
    <w:p w14:paraId="6EFD6E35" w14:textId="7A026878" w:rsidR="00401F3C" w:rsidRPr="00401F3C" w:rsidRDefault="00401F3C" w:rsidP="00401F3C">
      <w:pPr>
        <w:spacing w:before="6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1F3C">
        <w:rPr>
          <w:rFonts w:ascii="Times New Roman" w:hAnsi="Times New Roman"/>
          <w:sz w:val="28"/>
          <w:szCs w:val="28"/>
          <w:lang w:val="ru-RU"/>
        </w:rPr>
        <w:t>только новых результатов интеллектуальной деятельности;</w:t>
      </w:r>
    </w:p>
    <w:p w14:paraId="1FAD2A20" w14:textId="42C9BE42" w:rsidR="00401F3C" w:rsidRDefault="00401F3C" w:rsidP="00401F3C">
      <w:pPr>
        <w:spacing w:before="6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1F3C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объектов интеллектуальной собственности, созданных налогоплательщиком собственными силами или с привлечением </w:t>
      </w:r>
      <w:r>
        <w:rPr>
          <w:rFonts w:ascii="Times New Roman" w:hAnsi="Times New Roman"/>
          <w:sz w:val="28"/>
          <w:szCs w:val="28"/>
          <w:lang w:val="ru-RU"/>
        </w:rPr>
        <w:t>третьих лиц</w:t>
      </w:r>
      <w:r w:rsidRPr="00401F3C">
        <w:rPr>
          <w:rFonts w:ascii="Times New Roman" w:hAnsi="Times New Roman"/>
          <w:sz w:val="28"/>
          <w:szCs w:val="28"/>
          <w:lang w:val="ru-RU"/>
        </w:rPr>
        <w:t>.</w:t>
      </w:r>
    </w:p>
    <w:p w14:paraId="1E963EC4" w14:textId="3D408D6F" w:rsid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Принятие законопроекта </w:t>
      </w:r>
      <w:r w:rsidRPr="00CF7290">
        <w:rPr>
          <w:rFonts w:ascii="Times New Roman" w:hAnsi="Times New Roman"/>
          <w:sz w:val="28"/>
          <w:szCs w:val="28"/>
          <w:lang w:val="ru-RU"/>
        </w:rPr>
        <w:t>будет способствовать:</w:t>
      </w:r>
    </w:p>
    <w:p w14:paraId="04F2A99E" w14:textId="77777777" w:rsidR="008B4475" w:rsidRDefault="008B4475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повышению востребованности повышенного вычета расходов на НИОКР организациями и пропорциональному </w:t>
      </w:r>
      <w:r w:rsidR="00CF7290">
        <w:rPr>
          <w:rFonts w:ascii="Times New Roman" w:hAnsi="Times New Roman"/>
          <w:sz w:val="28"/>
          <w:szCs w:val="28"/>
          <w:lang w:val="ru-RU"/>
        </w:rPr>
        <w:t>увеличению расходов на НИОКР организаций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C61BFA7" w14:textId="77777777" w:rsidR="00CF7290" w:rsidRPr="008B4475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475">
        <w:rPr>
          <w:rFonts w:ascii="Times New Roman" w:hAnsi="Times New Roman"/>
          <w:sz w:val="28"/>
          <w:szCs w:val="28"/>
          <w:lang w:val="ru-RU"/>
        </w:rPr>
        <w:t>сокращению прямого государственного финансирования</w:t>
      </w:r>
      <w:r w:rsidR="008B4475" w:rsidRPr="008B4475">
        <w:rPr>
          <w:rFonts w:ascii="Times New Roman" w:hAnsi="Times New Roman"/>
          <w:sz w:val="28"/>
          <w:szCs w:val="28"/>
          <w:lang w:val="ru-RU"/>
        </w:rPr>
        <w:t xml:space="preserve"> НИОКР и измен</w:t>
      </w:r>
      <w:r w:rsidR="008B4475">
        <w:rPr>
          <w:rFonts w:ascii="Times New Roman" w:hAnsi="Times New Roman"/>
          <w:sz w:val="28"/>
          <w:szCs w:val="28"/>
          <w:lang w:val="ru-RU"/>
        </w:rPr>
        <w:t>ению структуры</w:t>
      </w:r>
      <w:r w:rsidR="008B4475" w:rsidRPr="008B4475">
        <w:rPr>
          <w:rFonts w:ascii="Times New Roman" w:hAnsi="Times New Roman"/>
          <w:sz w:val="28"/>
          <w:szCs w:val="28"/>
          <w:lang w:val="ru-RU"/>
        </w:rPr>
        <w:t xml:space="preserve"> финансирования в сторону увеличения доли расходов частного сектора</w:t>
      </w:r>
      <w:r w:rsidR="008B4475">
        <w:rPr>
          <w:rFonts w:ascii="Times New Roman" w:hAnsi="Times New Roman"/>
          <w:sz w:val="28"/>
          <w:szCs w:val="28"/>
          <w:lang w:val="ru-RU"/>
        </w:rPr>
        <w:t>;</w:t>
      </w:r>
    </w:p>
    <w:p w14:paraId="7D025EC7" w14:textId="77777777" w:rsidR="00CF7290" w:rsidRP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стимулированию оборота и коммерциализации результатов интеллектуальной деятельности субъектами цифровой экономики;</w:t>
      </w:r>
    </w:p>
    <w:p w14:paraId="5EFAF4E6" w14:textId="77777777" w:rsidR="00CF7290" w:rsidRP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стимулированию иностранных компаний-владельцев результатов интеллектуальной деятельности становиться налоговыми резидентами России;</w:t>
      </w:r>
    </w:p>
    <w:p w14:paraId="5C91F817" w14:textId="77777777" w:rsidR="00CF7290" w:rsidRP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стимулированию инноваций и притока инвестиций на территорию Российской Федерации;  </w:t>
      </w:r>
    </w:p>
    <w:p w14:paraId="66E770B5" w14:textId="77777777" w:rsidR="00CF7290" w:rsidRP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противодействию размыванию налогооблагаемой базы и выводу прибыли из-под налогообложения;</w:t>
      </w:r>
    </w:p>
    <w:p w14:paraId="57DBAE3D" w14:textId="77777777" w:rsidR="00CF7290" w:rsidRP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увеличению количества зарегистрированных патентов;</w:t>
      </w:r>
    </w:p>
    <w:p w14:paraId="21B835E0" w14:textId="77777777" w:rsidR="00CF7290" w:rsidRP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уменьшению оттока интеллектуальной собственности в юрисдикции со льготным режимом налогообложения результатов интеллектуальной деятельности;</w:t>
      </w:r>
    </w:p>
    <w:p w14:paraId="32F79271" w14:textId="15052CA3" w:rsidR="00CF7290" w:rsidRDefault="00CF7290" w:rsidP="00CF7290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притоку налоговых платежей в бюджет Р</w:t>
      </w:r>
      <w:r w:rsidR="008B4475">
        <w:rPr>
          <w:rFonts w:ascii="Times New Roman" w:hAnsi="Times New Roman"/>
          <w:sz w:val="28"/>
          <w:szCs w:val="28"/>
          <w:lang w:val="ru-RU"/>
        </w:rPr>
        <w:t>оссийской Федерации в размере 5 процентов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прибыли от распоряжения правами на результаты интеллектуальной деятельности, которые сейчас размещаются в иностранных юрисдикциях</w:t>
      </w:r>
      <w:r w:rsidR="007D7A41">
        <w:rPr>
          <w:rFonts w:ascii="Times New Roman" w:hAnsi="Times New Roman"/>
          <w:sz w:val="28"/>
          <w:szCs w:val="28"/>
          <w:lang w:val="ru-RU"/>
        </w:rPr>
        <w:t>.</w:t>
      </w:r>
    </w:p>
    <w:p w14:paraId="5EB9B824" w14:textId="77777777" w:rsidR="006B4587" w:rsidRPr="00E370FD" w:rsidRDefault="006B4587" w:rsidP="00E370FD">
      <w:pPr>
        <w:spacing w:before="6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0FD">
        <w:rPr>
          <w:rFonts w:ascii="Times New Roman" w:hAnsi="Times New Roman"/>
          <w:sz w:val="28"/>
          <w:szCs w:val="28"/>
          <w:lang w:val="ru-RU"/>
        </w:rPr>
        <w:br w:type="page"/>
      </w:r>
    </w:p>
    <w:p w14:paraId="15DA14AC" w14:textId="77777777" w:rsidR="00F90928" w:rsidRDefault="00F90928" w:rsidP="006B4587">
      <w:pPr>
        <w:spacing w:before="6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3863">
        <w:rPr>
          <w:rFonts w:ascii="Times New Roman" w:hAnsi="Times New Roman"/>
          <w:b/>
          <w:sz w:val="28"/>
          <w:szCs w:val="28"/>
          <w:lang w:val="ru-RU"/>
        </w:rPr>
        <w:lastRenderedPageBreak/>
        <w:t>ФИНАНСОВО-ЭКОНОМИЧЕСКОЕ ОБОСНОВАНИЕ</w:t>
      </w:r>
    </w:p>
    <w:p w14:paraId="6A57CAEC" w14:textId="77777777" w:rsidR="006B4587" w:rsidRDefault="00F90928" w:rsidP="006B4587">
      <w:pPr>
        <w:spacing w:before="6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3863">
        <w:rPr>
          <w:rFonts w:ascii="Times New Roman" w:hAnsi="Times New Roman"/>
          <w:b/>
          <w:sz w:val="28"/>
          <w:szCs w:val="28"/>
          <w:lang w:val="ru-RU"/>
        </w:rPr>
        <w:t xml:space="preserve">к проекту федерального закона </w:t>
      </w:r>
    </w:p>
    <w:p w14:paraId="4510A1AA" w14:textId="77777777" w:rsidR="008B4475" w:rsidRDefault="00F90928" w:rsidP="001D75EC">
      <w:pPr>
        <w:spacing w:before="6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0928">
        <w:rPr>
          <w:rFonts w:ascii="Times New Roman" w:hAnsi="Times New Roman"/>
          <w:b/>
          <w:sz w:val="28"/>
          <w:szCs w:val="28"/>
          <w:lang w:val="ru-RU"/>
        </w:rPr>
        <w:t>«О внесении изменений в статьи 262 и 284 части второй Налогового кодекса Российской Федерации в целях стимулирования оборота и коммерциализации результатов интеллектуальной деятельности (РИД) и привлечения в Российскую Федерацию иностранных компаний-владельцев РИД»</w:t>
      </w:r>
    </w:p>
    <w:p w14:paraId="2A16E01C" w14:textId="77777777" w:rsidR="00F90928" w:rsidRDefault="00F90928" w:rsidP="006B4587">
      <w:pPr>
        <w:spacing w:before="6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3863">
        <w:rPr>
          <w:rFonts w:ascii="Times New Roman" w:hAnsi="Times New Roman"/>
          <w:sz w:val="28"/>
          <w:szCs w:val="28"/>
          <w:lang w:val="ru-RU"/>
        </w:rPr>
        <w:t xml:space="preserve">Принятие федерального закона </w:t>
      </w:r>
      <w:r w:rsidRPr="00F90928">
        <w:rPr>
          <w:rFonts w:ascii="Times New Roman" w:hAnsi="Times New Roman"/>
          <w:sz w:val="28"/>
          <w:szCs w:val="28"/>
          <w:lang w:val="ru-RU"/>
        </w:rPr>
        <w:t>«О внесении изменений в статьи 262 и 284 части второй Налогового кодекса Российской Федерации в целях стимулирования оборота и коммерциализации результатов интеллектуальной деятельности (РИД) и привлечения в Российскую Федерацию иностранных компаний-владельцев РИД»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FCB">
        <w:rPr>
          <w:rFonts w:ascii="Times New Roman" w:hAnsi="Times New Roman"/>
          <w:sz w:val="28"/>
          <w:szCs w:val="28"/>
          <w:lang w:val="ru-RU"/>
        </w:rPr>
        <w:t>положительно по</w:t>
      </w:r>
      <w:r w:rsidR="00AC0FCB">
        <w:rPr>
          <w:rFonts w:ascii="Times New Roman" w:hAnsi="Times New Roman"/>
          <w:bCs/>
          <w:sz w:val="28"/>
          <w:szCs w:val="28"/>
          <w:lang w:val="ru-RU"/>
        </w:rPr>
        <w:t>влияе</w:t>
      </w:r>
      <w:r w:rsidR="00062CFF" w:rsidRPr="00EA0C94">
        <w:rPr>
          <w:rFonts w:ascii="Times New Roman" w:hAnsi="Times New Roman"/>
          <w:bCs/>
          <w:sz w:val="28"/>
          <w:szCs w:val="28"/>
          <w:lang w:val="ru-RU"/>
        </w:rPr>
        <w:t xml:space="preserve">т на объем </w:t>
      </w:r>
      <w:r w:rsidR="00AC0FCB">
        <w:rPr>
          <w:rFonts w:ascii="Times New Roman" w:hAnsi="Times New Roman"/>
          <w:bCs/>
          <w:sz w:val="28"/>
          <w:szCs w:val="28"/>
          <w:lang w:val="ru-RU"/>
        </w:rPr>
        <w:t>расходов компаний на</w:t>
      </w:r>
      <w:r w:rsidR="00062CFF" w:rsidRPr="00EA0C9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C0FCB">
        <w:rPr>
          <w:rFonts w:ascii="Times New Roman" w:hAnsi="Times New Roman"/>
          <w:bCs/>
          <w:sz w:val="28"/>
          <w:szCs w:val="28"/>
          <w:lang w:val="ru-RU"/>
        </w:rPr>
        <w:t>НИОКР</w:t>
      </w:r>
      <w:r w:rsidR="00062CFF" w:rsidRPr="00EA0C94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C0FCB">
        <w:rPr>
          <w:rFonts w:ascii="Times New Roman" w:hAnsi="Times New Roman"/>
          <w:bCs/>
          <w:sz w:val="28"/>
          <w:szCs w:val="28"/>
          <w:lang w:val="ru-RU"/>
        </w:rPr>
        <w:t>а также на</w:t>
      </w:r>
      <w:r w:rsidR="00062CFF" w:rsidRPr="00EA0C94">
        <w:rPr>
          <w:rFonts w:ascii="Times New Roman" w:hAnsi="Times New Roman"/>
          <w:bCs/>
          <w:sz w:val="28"/>
          <w:szCs w:val="28"/>
          <w:lang w:val="ru-RU"/>
        </w:rPr>
        <w:t xml:space="preserve"> производные результаты второго и третьего порядков – на совокупный объем инновационной продукции компаний, </w:t>
      </w:r>
      <w:r w:rsidR="00831BF4">
        <w:rPr>
          <w:rFonts w:ascii="Times New Roman" w:hAnsi="Times New Roman"/>
          <w:bCs/>
          <w:sz w:val="28"/>
          <w:szCs w:val="28"/>
          <w:lang w:val="ru-RU"/>
        </w:rPr>
        <w:t xml:space="preserve">на количество </w:t>
      </w:r>
      <w:r w:rsidR="00831BF4">
        <w:rPr>
          <w:rFonts w:ascii="Times New Roman" w:hAnsi="Times New Roman"/>
          <w:sz w:val="28"/>
          <w:szCs w:val="28"/>
          <w:lang w:val="ru-RU"/>
        </w:rPr>
        <w:t>патентов на объекты интеллектуальной собственности,</w:t>
      </w:r>
      <w:r w:rsidR="00831BF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62CFF" w:rsidRPr="00EA0C94">
        <w:rPr>
          <w:rFonts w:ascii="Times New Roman" w:hAnsi="Times New Roman"/>
          <w:bCs/>
          <w:sz w:val="28"/>
          <w:szCs w:val="28"/>
          <w:lang w:val="ru-RU"/>
        </w:rPr>
        <w:t xml:space="preserve">темпы роста ВВП и </w:t>
      </w:r>
      <w:r w:rsidR="00831BF4">
        <w:rPr>
          <w:rFonts w:ascii="Times New Roman" w:hAnsi="Times New Roman"/>
          <w:bCs/>
          <w:sz w:val="28"/>
          <w:szCs w:val="28"/>
          <w:lang w:val="ru-RU"/>
        </w:rPr>
        <w:t>дополнительные</w:t>
      </w:r>
      <w:r w:rsidR="00AC0FC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62CFF" w:rsidRPr="00EA0C94">
        <w:rPr>
          <w:rFonts w:ascii="Times New Roman" w:hAnsi="Times New Roman"/>
          <w:bCs/>
          <w:sz w:val="28"/>
          <w:szCs w:val="28"/>
          <w:lang w:val="ru-RU"/>
        </w:rPr>
        <w:t>налоговых поступлений в бюджеты</w:t>
      </w:r>
      <w:r w:rsidR="00A96D80">
        <w:rPr>
          <w:rFonts w:ascii="Times New Roman" w:hAnsi="Times New Roman"/>
          <w:bCs/>
          <w:sz w:val="28"/>
          <w:szCs w:val="28"/>
          <w:lang w:val="ru-RU"/>
        </w:rPr>
        <w:t>, в том числе за счет снижения темпов оттока объектов интеллектуальной собственности в другие юрисдикции и привлечения доходов от распоряжения правами на РИД компаний-налоговых резидентов других стран</w:t>
      </w:r>
      <w:r w:rsidR="00AC0FC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14:paraId="4AA0547C" w14:textId="707EBF93" w:rsidR="00AC0FCB" w:rsidRPr="00CA3863" w:rsidRDefault="00AC0FCB" w:rsidP="006B4587">
      <w:pPr>
        <w:spacing w:before="6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 указанных мер 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может привести к потере </w:t>
      </w:r>
      <w:r w:rsidRPr="00AC0FCB">
        <w:rPr>
          <w:rFonts w:ascii="Times New Roman" w:hAnsi="Times New Roman"/>
          <w:sz w:val="28"/>
          <w:szCs w:val="28"/>
          <w:lang w:val="ru-RU"/>
        </w:rPr>
        <w:t>незначительного объема доходов федерального бюджета и б</w:t>
      </w:r>
      <w:r w:rsidRPr="00CA3863">
        <w:rPr>
          <w:rFonts w:ascii="Times New Roman" w:hAnsi="Times New Roman"/>
          <w:sz w:val="28"/>
          <w:szCs w:val="28"/>
          <w:lang w:val="ru-RU"/>
        </w:rPr>
        <w:t>юджетов</w:t>
      </w:r>
      <w:r>
        <w:rPr>
          <w:rFonts w:ascii="Times New Roman" w:hAnsi="Times New Roman"/>
          <w:sz w:val="28"/>
          <w:szCs w:val="28"/>
          <w:lang w:val="ru-RU"/>
        </w:rPr>
        <w:t xml:space="preserve"> субъектов Российской Федерации, однако потери компенсируются 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FF4" w:rsidRPr="00C87FF4">
        <w:rPr>
          <w:rFonts w:ascii="Times New Roman" w:hAnsi="Times New Roman"/>
          <w:sz w:val="28"/>
          <w:szCs w:val="28"/>
          <w:lang w:val="ru-RU"/>
        </w:rPr>
        <w:t>мультиплик</w:t>
      </w:r>
      <w:r w:rsidR="00C87FF4">
        <w:rPr>
          <w:rFonts w:ascii="Times New Roman" w:hAnsi="Times New Roman"/>
          <w:sz w:val="28"/>
          <w:szCs w:val="28"/>
          <w:lang w:val="ru-RU"/>
        </w:rPr>
        <w:t>ативным эффектом на экономику за счет</w:t>
      </w:r>
      <w:r w:rsidR="00C87FF4" w:rsidRPr="00C87FF4">
        <w:rPr>
          <w:rFonts w:ascii="Times New Roman" w:hAnsi="Times New Roman"/>
          <w:sz w:val="28"/>
          <w:szCs w:val="28"/>
          <w:lang w:val="ru-RU"/>
        </w:rPr>
        <w:t xml:space="preserve"> роста инвес</w:t>
      </w:r>
      <w:r w:rsidR="00C87FF4">
        <w:rPr>
          <w:rFonts w:ascii="Times New Roman" w:hAnsi="Times New Roman"/>
          <w:sz w:val="28"/>
          <w:szCs w:val="28"/>
          <w:lang w:val="ru-RU"/>
        </w:rPr>
        <w:t>тиций компаний в НИОКР, создания</w:t>
      </w:r>
      <w:r w:rsidR="00C87FF4" w:rsidRPr="00C87FF4">
        <w:rPr>
          <w:rFonts w:ascii="Times New Roman" w:hAnsi="Times New Roman"/>
          <w:sz w:val="28"/>
          <w:szCs w:val="28"/>
          <w:lang w:val="ru-RU"/>
        </w:rPr>
        <w:t xml:space="preserve"> новых рабочих мест, коммерциализации результатов НИОКР, в том числе, за счет экспорт</w:t>
      </w:r>
      <w:r w:rsidR="002316E2">
        <w:rPr>
          <w:rFonts w:ascii="Times New Roman" w:hAnsi="Times New Roman"/>
          <w:sz w:val="28"/>
          <w:szCs w:val="28"/>
          <w:lang w:val="ru-RU"/>
        </w:rPr>
        <w:t>а высокотехнологичной продукции. Однако</w:t>
      </w:r>
      <w:r w:rsidR="00AE513E">
        <w:rPr>
          <w:rFonts w:ascii="Times New Roman" w:hAnsi="Times New Roman"/>
          <w:sz w:val="28"/>
          <w:szCs w:val="28"/>
          <w:lang w:val="ru-RU"/>
        </w:rPr>
        <w:t xml:space="preserve"> многочисленные исследования показывают, что </w:t>
      </w:r>
      <w:r w:rsidR="002316E2">
        <w:rPr>
          <w:rFonts w:ascii="Times New Roman" w:hAnsi="Times New Roman"/>
          <w:sz w:val="28"/>
          <w:szCs w:val="28"/>
          <w:lang w:val="ru-RU"/>
        </w:rPr>
        <w:t xml:space="preserve">несмотря на зафиксированные в странах, имеющих налоговые меры поддержки НИОКР положительные последствия введения </w:t>
      </w:r>
      <w:r w:rsidR="004C21D6">
        <w:rPr>
          <w:rFonts w:ascii="Times New Roman" w:hAnsi="Times New Roman"/>
          <w:sz w:val="28"/>
          <w:szCs w:val="28"/>
          <w:lang w:val="ru-RU"/>
        </w:rPr>
        <w:t>таких стимулов</w:t>
      </w:r>
      <w:r w:rsidR="004C2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6E2">
        <w:rPr>
          <w:rFonts w:ascii="Times New Roman" w:hAnsi="Times New Roman"/>
          <w:sz w:val="28"/>
          <w:szCs w:val="28"/>
          <w:lang w:val="ru-RU"/>
        </w:rPr>
        <w:t xml:space="preserve">с точки зрения роста расходов на НИОКР, роста </w:t>
      </w:r>
      <w:r w:rsidR="002316E2">
        <w:rPr>
          <w:rFonts w:ascii="Times New Roman" w:hAnsi="Times New Roman"/>
          <w:sz w:val="28"/>
          <w:szCs w:val="28"/>
          <w:lang w:val="ru-RU"/>
        </w:rPr>
        <w:lastRenderedPageBreak/>
        <w:t>заработной платы сотрудников, участвующих в НИОКР</w:t>
      </w:r>
      <w:r w:rsidR="002316E2"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1"/>
      </w:r>
      <w:r w:rsidR="002316E2">
        <w:rPr>
          <w:rFonts w:ascii="Times New Roman" w:hAnsi="Times New Roman"/>
          <w:sz w:val="28"/>
          <w:szCs w:val="28"/>
          <w:lang w:val="ru-RU"/>
        </w:rPr>
        <w:t>, достоверная</w:t>
      </w:r>
      <w:r w:rsidR="00AE5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6E2">
        <w:rPr>
          <w:rFonts w:ascii="Times New Roman" w:hAnsi="Times New Roman"/>
          <w:sz w:val="28"/>
          <w:szCs w:val="28"/>
          <w:lang w:val="ru-RU"/>
        </w:rPr>
        <w:t>эконометрическая</w:t>
      </w:r>
      <w:r w:rsidR="00AE5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6E2">
        <w:rPr>
          <w:rFonts w:ascii="Times New Roman" w:hAnsi="Times New Roman"/>
          <w:sz w:val="28"/>
          <w:szCs w:val="28"/>
          <w:lang w:val="ru-RU"/>
        </w:rPr>
        <w:t>оценка</w:t>
      </w:r>
      <w:r w:rsidR="00AE513E" w:rsidRPr="00AE513E">
        <w:rPr>
          <w:rFonts w:ascii="Times New Roman" w:hAnsi="Times New Roman"/>
          <w:sz w:val="28"/>
          <w:szCs w:val="28"/>
          <w:lang w:val="ru-RU"/>
        </w:rPr>
        <w:t xml:space="preserve"> эффективности </w:t>
      </w:r>
      <w:r w:rsidR="002316E2">
        <w:rPr>
          <w:rFonts w:ascii="Times New Roman" w:hAnsi="Times New Roman"/>
          <w:sz w:val="28"/>
          <w:szCs w:val="28"/>
          <w:lang w:val="ru-RU"/>
        </w:rPr>
        <w:t>таких мер</w:t>
      </w:r>
      <w:r w:rsidR="00AE513E" w:rsidRPr="00AE513E">
        <w:rPr>
          <w:rFonts w:ascii="Times New Roman" w:hAnsi="Times New Roman"/>
          <w:sz w:val="28"/>
          <w:szCs w:val="28"/>
          <w:lang w:val="ru-RU"/>
        </w:rPr>
        <w:t xml:space="preserve"> проблематична, так как причинно-следственные связи в исследуемых процессах практически не поддаются точной и однозначной оценке</w:t>
      </w:r>
      <w:r w:rsidR="00AE513E"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2"/>
      </w:r>
      <w:r w:rsidR="00AE513E" w:rsidRPr="00AE513E">
        <w:rPr>
          <w:rFonts w:ascii="Times New Roman" w:hAnsi="Times New Roman"/>
          <w:sz w:val="28"/>
          <w:szCs w:val="28"/>
          <w:lang w:val="ru-RU"/>
        </w:rPr>
        <w:t>.</w:t>
      </w:r>
    </w:p>
    <w:p w14:paraId="03D5E960" w14:textId="77777777" w:rsidR="00F90928" w:rsidRPr="00B37E0D" w:rsidRDefault="00F90928" w:rsidP="006B4587">
      <w:pPr>
        <w:pStyle w:val="ListParagraph"/>
        <w:numPr>
          <w:ilvl w:val="0"/>
          <w:numId w:val="2"/>
        </w:numPr>
        <w:spacing w:before="60" w:line="360" w:lineRule="auto"/>
        <w:ind w:left="284" w:hanging="284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7E0D">
        <w:rPr>
          <w:rFonts w:ascii="Times New Roman" w:hAnsi="Times New Roman"/>
          <w:b/>
          <w:sz w:val="28"/>
          <w:szCs w:val="28"/>
          <w:lang w:val="ru-RU"/>
        </w:rPr>
        <w:t>Внесение изменений в статью 262 Налогового кодекса Российской Федерации</w:t>
      </w:r>
    </w:p>
    <w:p w14:paraId="4066B090" w14:textId="77777777" w:rsidR="00F90928" w:rsidRPr="00CA3863" w:rsidRDefault="00A96D80" w:rsidP="006B4587">
      <w:pPr>
        <w:spacing w:before="6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определения </w:t>
      </w:r>
      <w:r>
        <w:rPr>
          <w:rFonts w:ascii="Times New Roman" w:hAnsi="Times New Roman"/>
          <w:sz w:val="28"/>
          <w:szCs w:val="28"/>
          <w:lang w:val="ru-RU"/>
        </w:rPr>
        <w:t>бюджетной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эффективности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внесени</w:t>
      </w:r>
      <w:r w:rsidR="00F90928">
        <w:rPr>
          <w:rFonts w:ascii="Times New Roman" w:hAnsi="Times New Roman"/>
          <w:sz w:val="28"/>
          <w:szCs w:val="28"/>
          <w:lang w:val="ru-RU"/>
        </w:rPr>
        <w:t>я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изменений в статью 262 Налогового кодекса Российской Федерации произведен прогнозный расчет выпадающих доходов федерального бюджета и бюджетов субъектов на основании данных по формам статистической налоговой отчетности Федеральной налоговой службы Российской Федерации</w:t>
      </w:r>
      <w:r w:rsidR="00DD52AB"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3"/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="00F90928" w:rsidRPr="00A96D80">
        <w:rPr>
          <w:rFonts w:ascii="Times New Roman" w:hAnsi="Times New Roman"/>
          <w:sz w:val="28"/>
          <w:szCs w:val="28"/>
          <w:lang w:val="ru-RU"/>
        </w:rPr>
        <w:t xml:space="preserve">произведен с учетом </w:t>
      </w:r>
      <w:r w:rsidR="00DD52AB">
        <w:rPr>
          <w:rFonts w:ascii="Times New Roman" w:hAnsi="Times New Roman"/>
          <w:sz w:val="28"/>
          <w:szCs w:val="28"/>
          <w:lang w:val="ru-RU"/>
        </w:rPr>
        <w:t xml:space="preserve">предлагаемого </w:t>
      </w:r>
      <w:r w:rsidR="00F90928" w:rsidRPr="00A96D80">
        <w:rPr>
          <w:rFonts w:ascii="Times New Roman" w:hAnsi="Times New Roman"/>
          <w:sz w:val="28"/>
          <w:szCs w:val="28"/>
          <w:lang w:val="ru-RU"/>
        </w:rPr>
        <w:t>увеличения коэффициента повышенного вычета расходов на НИОКР по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перечню, установленному Правительством Российской Федерации</w:t>
      </w:r>
      <w:r w:rsidR="00DD52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2AB" w:rsidRPr="00A96D80">
        <w:rPr>
          <w:rFonts w:ascii="Times New Roman" w:hAnsi="Times New Roman"/>
          <w:sz w:val="28"/>
          <w:szCs w:val="28"/>
          <w:lang w:val="ru-RU"/>
        </w:rPr>
        <w:t>до 2</w:t>
      </w:r>
      <w:r w:rsidR="00777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с учетом </w:t>
      </w:r>
      <w:r w:rsidR="00F90928">
        <w:rPr>
          <w:rFonts w:ascii="Times New Roman" w:hAnsi="Times New Roman"/>
          <w:sz w:val="28"/>
          <w:szCs w:val="28"/>
          <w:lang w:val="ru-RU"/>
        </w:rPr>
        <w:t xml:space="preserve">двух </w:t>
      </w:r>
      <w:r w:rsidR="0077742E">
        <w:rPr>
          <w:rFonts w:ascii="Times New Roman" w:hAnsi="Times New Roman"/>
          <w:sz w:val="28"/>
          <w:szCs w:val="28"/>
          <w:lang w:val="ru-RU"/>
        </w:rPr>
        <w:t>сценариев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востребованности предлагаемой меры стимулирования:</w:t>
      </w:r>
    </w:p>
    <w:p w14:paraId="3E904FFE" w14:textId="77777777" w:rsidR="00F90928" w:rsidRPr="0077742E" w:rsidRDefault="0077742E" w:rsidP="006B4587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Сценарий 1. </w:t>
      </w:r>
      <w:r w:rsidRPr="0077742E">
        <w:rPr>
          <w:rFonts w:ascii="Times New Roman" w:hAnsi="Times New Roman"/>
          <w:sz w:val="28"/>
          <w:szCs w:val="28"/>
          <w:lang w:val="ru-RU"/>
        </w:rPr>
        <w:t>Востребованность меры налогоплательщиками останется на прежнем уровне.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>Объем заявляемых расходов на НИОКР для целей налогового учета по перечню, установленному Правительством Российской Федерации, не измен</w:t>
      </w:r>
      <w:r>
        <w:rPr>
          <w:rFonts w:ascii="Times New Roman" w:hAnsi="Times New Roman"/>
          <w:sz w:val="28"/>
          <w:szCs w:val="28"/>
          <w:lang w:val="ru-RU"/>
        </w:rPr>
        <w:t>ится по сравнению с объемом расходов в 2016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 г. Ежегодные бюджетные потери могут составить </w:t>
      </w:r>
      <w:r>
        <w:rPr>
          <w:rFonts w:ascii="Times New Roman" w:hAnsi="Times New Roman"/>
          <w:sz w:val="28"/>
          <w:szCs w:val="28"/>
          <w:lang w:val="ru-RU"/>
        </w:rPr>
        <w:t>1 млрд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 рублей или </w:t>
      </w:r>
      <w:r>
        <w:rPr>
          <w:rFonts w:ascii="Times New Roman" w:hAnsi="Times New Roman"/>
          <w:sz w:val="28"/>
          <w:szCs w:val="28"/>
          <w:lang w:val="ru-RU"/>
        </w:rPr>
        <w:t>0.04</w:t>
      </w:r>
      <w:r w:rsidR="00864198">
        <w:rPr>
          <w:rFonts w:ascii="Times New Roman" w:hAnsi="Times New Roman"/>
          <w:sz w:val="28"/>
          <w:szCs w:val="28"/>
          <w:lang w:val="ru-RU"/>
        </w:rPr>
        <w:t xml:space="preserve"> процента 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>поступлений по налогу на прибыль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Pr="000073FD">
        <w:rPr>
          <w:rFonts w:ascii="Times New Roman" w:hAnsi="Times New Roman"/>
          <w:sz w:val="28"/>
          <w:szCs w:val="28"/>
          <w:lang w:val="ru-RU"/>
        </w:rPr>
        <w:t>2016 год</w:t>
      </w:r>
      <w:r w:rsidR="00F90928" w:rsidRPr="000073FD">
        <w:rPr>
          <w:rFonts w:ascii="Times New Roman" w:hAnsi="Times New Roman"/>
          <w:sz w:val="28"/>
          <w:szCs w:val="28"/>
          <w:lang w:val="ru-RU"/>
        </w:rPr>
        <w:t xml:space="preserve"> (см. п.5 и п.7 Таблицы 1).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1598848" w14:textId="77777777" w:rsidR="00F90928" w:rsidRPr="0077742E" w:rsidRDefault="0077742E" w:rsidP="006B4587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Сценарий 2. </w:t>
      </w:r>
      <w:r w:rsidRPr="0077742E">
        <w:rPr>
          <w:rFonts w:ascii="Times New Roman" w:hAnsi="Times New Roman"/>
          <w:sz w:val="28"/>
          <w:szCs w:val="28"/>
          <w:lang w:val="ru-RU"/>
        </w:rPr>
        <w:t>Востребованность меры вырастет.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Объем заявляемых расходов на НИОКР для целей налогового учета по перечню, установленному Правительством Российской Федерации, увеличится вдвое </w:t>
      </w:r>
      <w:r>
        <w:rPr>
          <w:rFonts w:ascii="Times New Roman" w:hAnsi="Times New Roman"/>
          <w:sz w:val="28"/>
          <w:szCs w:val="28"/>
          <w:lang w:val="ru-RU"/>
        </w:rPr>
        <w:t>по сравнению с объемом 2016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14:paraId="22CE1729" w14:textId="49886BF4" w:rsidR="00B2392D" w:rsidRPr="00B2392D" w:rsidRDefault="0077742E" w:rsidP="006B4587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Тогда е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жегодные бюджетные потери могут вырасти на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млрд рублей и составить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 млрд рублей или 0.</w:t>
      </w:r>
      <w:r>
        <w:rPr>
          <w:rFonts w:ascii="Times New Roman" w:hAnsi="Times New Roman"/>
          <w:sz w:val="28"/>
          <w:szCs w:val="28"/>
          <w:lang w:val="ru-RU"/>
        </w:rPr>
        <w:t>08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 поступлений по налогу на прибыль </w:t>
      </w:r>
      <w:r w:rsidR="00F90928" w:rsidRPr="00FA0C61">
        <w:rPr>
          <w:rFonts w:ascii="Times New Roman" w:hAnsi="Times New Roman"/>
          <w:sz w:val="28"/>
          <w:szCs w:val="28"/>
          <w:lang w:val="ru-RU"/>
        </w:rPr>
        <w:t xml:space="preserve">(см. </w:t>
      </w:r>
      <w:r w:rsidR="00F90928" w:rsidRPr="000073FD">
        <w:rPr>
          <w:rFonts w:ascii="Times New Roman" w:hAnsi="Times New Roman"/>
          <w:sz w:val="28"/>
          <w:szCs w:val="28"/>
          <w:lang w:val="ru-RU"/>
        </w:rPr>
        <w:t>п. 8 и п. 9 Таблицы 1). При</w:t>
      </w:r>
      <w:r w:rsidR="00F90928" w:rsidRPr="00FA0C61">
        <w:rPr>
          <w:rFonts w:ascii="Times New Roman" w:hAnsi="Times New Roman"/>
          <w:sz w:val="28"/>
          <w:szCs w:val="28"/>
          <w:lang w:val="ru-RU"/>
        </w:rPr>
        <w:t xml:space="preserve"> этом объем расходов на НИОКР, финансируемых хозяйствующими</w:t>
      </w:r>
      <w:r w:rsidR="00FA0C61" w:rsidRPr="00FA0C61">
        <w:rPr>
          <w:rFonts w:ascii="Times New Roman" w:hAnsi="Times New Roman"/>
          <w:sz w:val="28"/>
          <w:szCs w:val="28"/>
          <w:lang w:val="ru-RU"/>
        </w:rPr>
        <w:t xml:space="preserve"> субъектами, должен вырасти на 5,2</w:t>
      </w:r>
      <w:r w:rsidR="00F90928" w:rsidRPr="00FA0C61">
        <w:rPr>
          <w:rFonts w:ascii="Times New Roman" w:hAnsi="Times New Roman"/>
          <w:sz w:val="28"/>
          <w:szCs w:val="28"/>
          <w:lang w:val="ru-RU"/>
        </w:rPr>
        <w:t xml:space="preserve"> млрд рублей, что в свою очередь приведет к </w:t>
      </w:r>
      <w:r w:rsidR="00FA0C61">
        <w:rPr>
          <w:rFonts w:ascii="Times New Roman" w:hAnsi="Times New Roman"/>
          <w:sz w:val="28"/>
          <w:szCs w:val="28"/>
          <w:lang w:val="ru-RU"/>
        </w:rPr>
        <w:t xml:space="preserve">сопоставимому </w:t>
      </w:r>
      <w:r w:rsidR="00F90928" w:rsidRPr="00FA0C61">
        <w:rPr>
          <w:rFonts w:ascii="Times New Roman" w:hAnsi="Times New Roman"/>
          <w:sz w:val="28"/>
          <w:szCs w:val="28"/>
          <w:lang w:val="ru-RU"/>
        </w:rPr>
        <w:t>уменьшению нагрузки на федеральный бюджет по прямому финансированию НИОКР.</w:t>
      </w:r>
      <w:r w:rsidR="00F90928" w:rsidRPr="00777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92D">
        <w:rPr>
          <w:rFonts w:ascii="Times New Roman" w:hAnsi="Times New Roman"/>
          <w:sz w:val="28"/>
          <w:szCs w:val="28"/>
          <w:lang w:val="ru-RU"/>
        </w:rPr>
        <w:t xml:space="preserve">Среди целей, обозначенных в 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>Стратегии инновационного развития Российской Федерации на период до 2020 года</w:t>
      </w:r>
      <w:r w:rsidR="00B2392D">
        <w:rPr>
          <w:rFonts w:ascii="Times New Roman" w:hAnsi="Times New Roman"/>
          <w:sz w:val="28"/>
          <w:szCs w:val="28"/>
          <w:lang w:val="ru-RU"/>
        </w:rPr>
        <w:t>, обозначено повышение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 xml:space="preserve"> внутренних затрат на исследования и разработки до 2,5 - 3 процентов валового внутреннего продукта к 2020 году (показател</w:t>
      </w:r>
      <w:r w:rsidR="00B2392D">
        <w:rPr>
          <w:rFonts w:ascii="Times New Roman" w:hAnsi="Times New Roman"/>
          <w:sz w:val="28"/>
          <w:szCs w:val="28"/>
          <w:lang w:val="ru-RU"/>
        </w:rPr>
        <w:t xml:space="preserve">ь в 2013 году - 1,12 процента). При этом, 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 xml:space="preserve">больше половины </w:t>
      </w:r>
      <w:r w:rsidR="00B2392D">
        <w:rPr>
          <w:rFonts w:ascii="Times New Roman" w:hAnsi="Times New Roman"/>
          <w:sz w:val="28"/>
          <w:szCs w:val="28"/>
          <w:lang w:val="ru-RU"/>
        </w:rPr>
        <w:t>затрат на НИОКР должно осуществляться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 xml:space="preserve"> за счет частного сектора. </w:t>
      </w:r>
      <w:r w:rsidR="00B2392D">
        <w:rPr>
          <w:rFonts w:ascii="Times New Roman" w:hAnsi="Times New Roman"/>
          <w:sz w:val="28"/>
          <w:szCs w:val="28"/>
          <w:lang w:val="ru-RU"/>
        </w:rPr>
        <w:t>В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 xml:space="preserve"> 2016 году </w:t>
      </w:r>
      <w:r w:rsidR="00B2392D">
        <w:rPr>
          <w:rFonts w:ascii="Times New Roman" w:hAnsi="Times New Roman"/>
          <w:sz w:val="28"/>
          <w:szCs w:val="28"/>
          <w:lang w:val="ru-RU"/>
        </w:rPr>
        <w:t xml:space="preserve">общий 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>объем внутренних затрат на исследования и разработки</w:t>
      </w:r>
      <w:r w:rsidR="00B2392D">
        <w:rPr>
          <w:rFonts w:ascii="Times New Roman" w:hAnsi="Times New Roman"/>
          <w:sz w:val="28"/>
          <w:szCs w:val="28"/>
          <w:lang w:val="ru-RU"/>
        </w:rPr>
        <w:t xml:space="preserve"> в России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 xml:space="preserve"> достиг 943,8 млрд руб</w:t>
      </w:r>
      <w:r w:rsidR="00B2392D">
        <w:rPr>
          <w:rFonts w:ascii="Times New Roman" w:hAnsi="Times New Roman"/>
          <w:sz w:val="28"/>
          <w:szCs w:val="28"/>
          <w:lang w:val="ru-RU"/>
        </w:rPr>
        <w:t xml:space="preserve">лей, а 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>д</w:t>
      </w:r>
      <w:r w:rsidR="00B2392D">
        <w:rPr>
          <w:rFonts w:ascii="Times New Roman" w:hAnsi="Times New Roman"/>
          <w:sz w:val="28"/>
          <w:szCs w:val="28"/>
          <w:lang w:val="ru-RU"/>
        </w:rPr>
        <w:t xml:space="preserve">оля расходов бизнеса на НИОКР 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>со</w:t>
      </w:r>
      <w:r w:rsidR="00864198">
        <w:rPr>
          <w:rFonts w:ascii="Times New Roman" w:hAnsi="Times New Roman"/>
          <w:sz w:val="28"/>
          <w:szCs w:val="28"/>
          <w:lang w:val="ru-RU"/>
        </w:rPr>
        <w:t>ставила всего 29 процентов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 xml:space="preserve"> общих расходов</w:t>
      </w:r>
      <w:r w:rsidR="00B2392D">
        <w:rPr>
          <w:rFonts w:ascii="Times New Roman" w:hAnsi="Times New Roman"/>
          <w:sz w:val="28"/>
          <w:szCs w:val="28"/>
          <w:lang w:val="ru-RU"/>
        </w:rPr>
        <w:t>.</w:t>
      </w:r>
      <w:r w:rsidR="00B2392D" w:rsidRPr="00B2392D">
        <w:rPr>
          <w:rFonts w:ascii="Times New Roman" w:hAnsi="Times New Roman"/>
          <w:sz w:val="28"/>
          <w:szCs w:val="28"/>
          <w:lang w:val="ru-RU"/>
        </w:rPr>
        <w:t xml:space="preserve"> Таким образом, в краткосрочной перспективе бизнес должен увеличить расходы на НИО</w:t>
      </w:r>
      <w:r w:rsidR="00B2392D">
        <w:rPr>
          <w:rFonts w:ascii="Times New Roman" w:hAnsi="Times New Roman"/>
          <w:sz w:val="28"/>
          <w:szCs w:val="28"/>
          <w:lang w:val="ru-RU"/>
        </w:rPr>
        <w:t xml:space="preserve">КР более чем на 170 млрд рублей, часть из которых может быть </w:t>
      </w:r>
      <w:r w:rsidR="00765E92">
        <w:rPr>
          <w:rFonts w:ascii="Times New Roman" w:hAnsi="Times New Roman"/>
          <w:sz w:val="28"/>
          <w:szCs w:val="28"/>
          <w:lang w:val="ru-RU"/>
        </w:rPr>
        <w:t xml:space="preserve">простимулирована косвенными мерами поддержки. </w:t>
      </w:r>
    </w:p>
    <w:p w14:paraId="575B540A" w14:textId="11A24BBB" w:rsidR="00F90928" w:rsidRDefault="00765E92" w:rsidP="006B4587">
      <w:pPr>
        <w:spacing w:before="6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</w:t>
      </w:r>
      <w:r w:rsidRPr="008E6C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исследованиям</w:t>
      </w:r>
      <w:r w:rsidRPr="008E6CE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опубликованным ОЭСР</w:t>
      </w:r>
      <w:r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4"/>
      </w:r>
      <w:r>
        <w:rPr>
          <w:rFonts w:ascii="Times New Roman" w:hAnsi="Times New Roman"/>
          <w:sz w:val="28"/>
          <w:szCs w:val="28"/>
          <w:lang w:val="ru-RU"/>
        </w:rPr>
        <w:t xml:space="preserve">, для налоговых мер стимулирования НИОКР наблюдается прямая корреляция между потерями бюджета от применения </w:t>
      </w:r>
      <w:r w:rsidR="004C21D6">
        <w:rPr>
          <w:rFonts w:ascii="Times New Roman" w:hAnsi="Times New Roman"/>
          <w:sz w:val="28"/>
          <w:szCs w:val="28"/>
          <w:lang w:val="ru-RU"/>
        </w:rPr>
        <w:t xml:space="preserve">налоговых </w:t>
      </w:r>
      <w:r w:rsidR="007D7A4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льгот</w:t>
      </w:r>
      <w:r w:rsidR="007D7A4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ростом расходов на НИОКР в организациях. 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>Таким образом, при увеличении</w:t>
      </w:r>
      <w:r w:rsidR="000073FD">
        <w:rPr>
          <w:rFonts w:ascii="Times New Roman" w:hAnsi="Times New Roman"/>
          <w:sz w:val="28"/>
          <w:szCs w:val="28"/>
          <w:lang w:val="ru-RU"/>
        </w:rPr>
        <w:t xml:space="preserve"> в России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коэффициента повышенного вычета расходов на НИОКР для целей исчисления налога на прибыль до 2 и при высокой востребованности </w:t>
      </w:r>
      <w:r w:rsidR="004C21D6">
        <w:rPr>
          <w:rFonts w:ascii="Times New Roman" w:hAnsi="Times New Roman"/>
          <w:sz w:val="28"/>
          <w:szCs w:val="28"/>
          <w:lang w:val="ru-RU"/>
        </w:rPr>
        <w:t>меры</w:t>
      </w:r>
      <w:r w:rsidR="004C21D6" w:rsidRPr="00CA38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>налогоплательщиками (</w:t>
      </w:r>
      <w:r w:rsidR="00F90928">
        <w:rPr>
          <w:rFonts w:ascii="Times New Roman" w:hAnsi="Times New Roman"/>
          <w:sz w:val="28"/>
          <w:szCs w:val="28"/>
          <w:lang w:val="ru-RU"/>
        </w:rPr>
        <w:t>двукратный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рост расходов на НИОКР</w:t>
      </w:r>
      <w:r w:rsidR="00F90928">
        <w:rPr>
          <w:rFonts w:ascii="Times New Roman" w:hAnsi="Times New Roman"/>
          <w:sz w:val="28"/>
          <w:szCs w:val="28"/>
          <w:lang w:val="ru-RU"/>
        </w:rPr>
        <w:t xml:space="preserve"> по перечню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>) ежегодный объем выпадающих доходов бюджетов Российс</w:t>
      </w:r>
      <w:r w:rsidR="00F90928">
        <w:rPr>
          <w:rFonts w:ascii="Times New Roman" w:hAnsi="Times New Roman"/>
          <w:sz w:val="28"/>
          <w:szCs w:val="28"/>
          <w:lang w:val="ru-RU"/>
        </w:rPr>
        <w:t>кой Федерации составит менее 0.1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 xml:space="preserve"> процента налоговых поступлений по налогу на прибыль</w:t>
      </w:r>
      <w:r w:rsidR="00F90928">
        <w:rPr>
          <w:rFonts w:ascii="Times New Roman" w:hAnsi="Times New Roman"/>
          <w:sz w:val="28"/>
          <w:szCs w:val="28"/>
          <w:lang w:val="ru-RU"/>
        </w:rPr>
        <w:t>, а каждый дополнительный рубль бюджетных потерь приведет к пяти рублям дополнительных инвестиций хозяйствующих субъектов в НИОКР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>.</w:t>
      </w:r>
      <w:r w:rsidR="00F90928">
        <w:rPr>
          <w:rFonts w:ascii="Times New Roman" w:hAnsi="Times New Roman"/>
          <w:sz w:val="28"/>
          <w:szCs w:val="28"/>
          <w:lang w:val="ru-RU"/>
        </w:rPr>
        <w:t xml:space="preserve"> Это позволит снизить долю государственного финансирования НИОКР в </w:t>
      </w:r>
      <w:r w:rsidR="00F90928">
        <w:rPr>
          <w:rFonts w:ascii="Times New Roman" w:hAnsi="Times New Roman"/>
          <w:sz w:val="28"/>
          <w:szCs w:val="28"/>
          <w:lang w:val="ru-RU"/>
        </w:rPr>
        <w:lastRenderedPageBreak/>
        <w:t>Российской Федерации, которая в относительных величинах остается очень высокой по сравнению с другими странами ОЭСР</w:t>
      </w:r>
      <w:r w:rsidR="00F90928" w:rsidRPr="00CA3863">
        <w:rPr>
          <w:rFonts w:ascii="Times New Roman" w:hAnsi="Times New Roman"/>
          <w:sz w:val="28"/>
          <w:szCs w:val="28"/>
          <w:lang w:val="ru-RU"/>
        </w:rPr>
        <w:t>.</w:t>
      </w:r>
      <w:r w:rsidR="00F909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5B3DCCC" w14:textId="77777777" w:rsidR="00765E92" w:rsidRDefault="00765E92" w:rsidP="006B4587">
      <w:pPr>
        <w:spacing w:before="6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Высвобожденные средства</w:t>
      </w:r>
      <w:r w:rsidRPr="007774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счет мультипликативного эффекта на экономику приведут к расширению налоговой базы и дополнительным поступлениям в бюджеты Российской Федерации в </w:t>
      </w:r>
      <w:r w:rsidRPr="00864198">
        <w:rPr>
          <w:rFonts w:ascii="Times New Roman" w:hAnsi="Times New Roman"/>
          <w:sz w:val="28"/>
          <w:szCs w:val="28"/>
          <w:lang w:val="ru-RU"/>
        </w:rPr>
        <w:t>краткосрочной перспективе в размере</w:t>
      </w:r>
      <w:r w:rsidR="006B4587" w:rsidRPr="00864198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6B4587" w:rsidRPr="00864198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менее</w:t>
      </w:r>
      <w:r w:rsidR="00864198" w:rsidRPr="001E20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1,7 млрд рублей</w:t>
      </w:r>
      <w:r w:rsidR="008E5686" w:rsidRPr="001E20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8E5686" w:rsidRPr="00864198">
        <w:rPr>
          <w:rFonts w:ascii="Times New Roman" w:hAnsi="Times New Roman"/>
          <w:sz w:val="28"/>
          <w:szCs w:val="28"/>
          <w:lang w:val="ru-RU"/>
        </w:rPr>
        <w:t>то есть, выпадающие доходы бюджетов будут скомпенсированы положительным эффектом от введения изменений.</w:t>
      </w:r>
      <w:r w:rsidR="008E56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02A5DCB" w14:textId="77777777" w:rsidR="00F90928" w:rsidRPr="000073FD" w:rsidRDefault="00F90928" w:rsidP="006B4587">
      <w:pPr>
        <w:pStyle w:val="ListParagraph"/>
        <w:numPr>
          <w:ilvl w:val="0"/>
          <w:numId w:val="2"/>
        </w:numPr>
        <w:spacing w:before="60" w:line="360" w:lineRule="auto"/>
        <w:ind w:left="567" w:hanging="425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073FD">
        <w:rPr>
          <w:rFonts w:ascii="Times New Roman" w:hAnsi="Times New Roman"/>
          <w:b/>
          <w:sz w:val="28"/>
          <w:szCs w:val="28"/>
          <w:lang w:val="ru-RU"/>
        </w:rPr>
        <w:t>Внесение изменений в статью 284 Налогового кодекса Российской Федерации</w:t>
      </w:r>
    </w:p>
    <w:p w14:paraId="345D0CDD" w14:textId="2F132916" w:rsidR="00F90928" w:rsidRDefault="00F90928" w:rsidP="006B4587">
      <w:pPr>
        <w:spacing w:before="6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Федерального закона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направлен на предоставление </w:t>
      </w:r>
      <w:r>
        <w:rPr>
          <w:rFonts w:ascii="Times New Roman" w:hAnsi="Times New Roman"/>
          <w:sz w:val="28"/>
          <w:szCs w:val="28"/>
          <w:lang w:val="ru-RU"/>
        </w:rPr>
        <w:t>права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организациям исчислять налог на прибыль организаций по ставке 5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в отношении доходов, полученных от </w:t>
      </w:r>
      <w:r w:rsidR="00086AD9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исключительных и неисключительных прав на </w:t>
      </w:r>
      <w:r>
        <w:rPr>
          <w:rFonts w:ascii="Times New Roman" w:hAnsi="Times New Roman"/>
          <w:sz w:val="28"/>
          <w:szCs w:val="28"/>
          <w:lang w:val="ru-RU"/>
        </w:rPr>
        <w:t xml:space="preserve">новые </w:t>
      </w:r>
      <w:r w:rsidRPr="00CA3863">
        <w:rPr>
          <w:rFonts w:ascii="Times New Roman" w:hAnsi="Times New Roman"/>
          <w:sz w:val="28"/>
          <w:szCs w:val="28"/>
          <w:lang w:val="ru-RU"/>
        </w:rPr>
        <w:t>результаты интеллектуальной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(режим </w:t>
      </w:r>
      <w:r>
        <w:rPr>
          <w:rFonts w:ascii="Times New Roman" w:hAnsi="Times New Roman"/>
          <w:sz w:val="28"/>
          <w:szCs w:val="28"/>
        </w:rPr>
        <w:t>Patent</w:t>
      </w:r>
      <w:r w:rsidRPr="00D27F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Box</w:t>
      </w:r>
      <w:r w:rsidRPr="00D27F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мировой практике</w:t>
      </w:r>
      <w:r w:rsidRPr="00D27F9A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A3863">
        <w:rPr>
          <w:rFonts w:ascii="Times New Roman" w:hAnsi="Times New Roman"/>
          <w:sz w:val="28"/>
          <w:szCs w:val="28"/>
          <w:lang w:val="ru-RU"/>
        </w:rPr>
        <w:t>На текущий момент действующая налоговая ставка по налогу на прибыль</w:t>
      </w:r>
      <w:r>
        <w:rPr>
          <w:rFonts w:ascii="Times New Roman" w:hAnsi="Times New Roman"/>
          <w:sz w:val="28"/>
          <w:szCs w:val="28"/>
          <w:lang w:val="ru-RU"/>
        </w:rPr>
        <w:t xml:space="preserve"> в отношении таких доходов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составляет 2</w:t>
      </w:r>
      <w:r w:rsidR="00FA7FE8">
        <w:rPr>
          <w:rFonts w:ascii="Times New Roman" w:hAnsi="Times New Roman"/>
          <w:sz w:val="28"/>
          <w:szCs w:val="28"/>
          <w:lang w:val="ru-RU"/>
        </w:rPr>
        <w:t>0 процентов</w:t>
      </w:r>
      <w:r w:rsidRPr="00CA3863">
        <w:rPr>
          <w:rFonts w:ascii="Times New Roman" w:hAnsi="Times New Roman"/>
          <w:sz w:val="28"/>
          <w:szCs w:val="28"/>
          <w:lang w:val="ru-RU"/>
        </w:rPr>
        <w:t>.</w:t>
      </w:r>
    </w:p>
    <w:p w14:paraId="70C34523" w14:textId="77777777" w:rsidR="00F90928" w:rsidRPr="00CA3863" w:rsidRDefault="00F90928" w:rsidP="006B4587">
      <w:pPr>
        <w:spacing w:before="6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Реализация мер, предусмотренных законопроектом, в сочетании с мерами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деофшоризации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российской экономики, направлена на уменьшение количества компаний – держателей объектов прав на РИД, которые регистрируются и управляются в низконалоговых юрисдикциях. В условиях повышенной конкуренции стран в области международного налогообложения, критически важно создать условия налогообложения объектов интеллектуальной собственности налогом на прибыль организаций по ставкам не выше средних применяемых в других странах.  </w:t>
      </w:r>
    </w:p>
    <w:p w14:paraId="0E403B2A" w14:textId="77777777" w:rsidR="00F90928" w:rsidRDefault="00F90928" w:rsidP="006B4587">
      <w:pPr>
        <w:spacing w:before="6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организаций, уже являющихся налоговыми резидентами Российской Федерации, в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настоящее время отсутствуют количественные данные для достоверного расчета сумм потерь бюджетной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 при принятии Федерального закона. 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CA3863">
        <w:rPr>
          <w:rFonts w:ascii="Times New Roman" w:hAnsi="Times New Roman"/>
          <w:sz w:val="28"/>
          <w:szCs w:val="28"/>
          <w:lang w:val="ru-RU"/>
        </w:rPr>
        <w:lastRenderedPageBreak/>
        <w:t xml:space="preserve">обуславливается отсутствием данных статистических наблюдений органов Федеральной службы государственной статистики, позволяющих выделить в составе доходов организаций те, что получены в результате реализации исключительных и неисключительных прав на результаты интеллектуальной деятельности. Подобное разделение источников дохода </w:t>
      </w:r>
      <w:r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CA3863">
        <w:rPr>
          <w:rFonts w:ascii="Times New Roman" w:hAnsi="Times New Roman"/>
          <w:sz w:val="28"/>
          <w:szCs w:val="28"/>
          <w:lang w:val="ru-RU"/>
        </w:rPr>
        <w:t>не предусмотрено действующими формами налоговой отчетности, в частности – декларацией по налогу на прибыль организаций, поскольку нормами Налогового кодекса Российской Федерации не предусмотрена необходимость дифференцированного учета данного вида доходов.</w:t>
      </w:r>
    </w:p>
    <w:p w14:paraId="512A8004" w14:textId="77777777" w:rsidR="00542EBA" w:rsidRDefault="00086AD9" w:rsidP="006B4587">
      <w:pPr>
        <w:spacing w:before="6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 w:eastAsia="fr-FR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 не менее, анализ доходов компаний, основным видом деятельности которых согласно ЕГРЮЛ является разработка программного обеспечения и деятельность по созданию </w:t>
      </w:r>
      <w:r>
        <w:rPr>
          <w:rFonts w:ascii="Times New Roman" w:hAnsi="Times New Roman"/>
          <w:noProof/>
          <w:sz w:val="28"/>
          <w:szCs w:val="28"/>
          <w:lang w:val="ru-RU" w:eastAsia="fr-FR"/>
        </w:rPr>
        <w:t>баз данных и инф</w:t>
      </w:r>
      <w:r w:rsidR="0025745A">
        <w:rPr>
          <w:rFonts w:ascii="Times New Roman" w:hAnsi="Times New Roman"/>
          <w:noProof/>
          <w:sz w:val="28"/>
          <w:szCs w:val="28"/>
          <w:lang w:val="ru-RU" w:eastAsia="fr-FR"/>
        </w:rPr>
        <w:t>о</w:t>
      </w:r>
      <w:r>
        <w:rPr>
          <w:rFonts w:ascii="Times New Roman" w:hAnsi="Times New Roman"/>
          <w:noProof/>
          <w:sz w:val="28"/>
          <w:szCs w:val="28"/>
          <w:lang w:val="ru-RU" w:eastAsia="fr-FR"/>
        </w:rPr>
        <w:t xml:space="preserve">рмационных ресурсов, </w:t>
      </w:r>
      <w:r w:rsidR="0025745A">
        <w:rPr>
          <w:rFonts w:ascii="Times New Roman" w:hAnsi="Times New Roman"/>
          <w:noProof/>
          <w:sz w:val="28"/>
          <w:szCs w:val="28"/>
          <w:lang w:val="ru-RU" w:eastAsia="fr-FR"/>
        </w:rPr>
        <w:t>за исключением компаний малого бизнеса, показал,что потенциально размер выпадающих доходов может составить 19 млрд рублей или 0,6 процента поступлений по налогу на прибыль корпораций в 2016 г.</w:t>
      </w:r>
      <w:r w:rsidR="0025745A">
        <w:rPr>
          <w:rStyle w:val="FootnoteReference"/>
          <w:rFonts w:ascii="Times New Roman" w:hAnsi="Times New Roman"/>
          <w:noProof/>
          <w:sz w:val="28"/>
          <w:szCs w:val="28"/>
          <w:lang w:val="ru-RU" w:eastAsia="fr-FR"/>
        </w:rPr>
        <w:footnoteReference w:id="5"/>
      </w:r>
    </w:p>
    <w:p w14:paraId="667DF769" w14:textId="7E5EB060" w:rsidR="00086AD9" w:rsidRDefault="0025745A" w:rsidP="006B4587">
      <w:pPr>
        <w:spacing w:before="6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 w:eastAsia="fr-FR"/>
        </w:rPr>
      </w:pPr>
      <w:r>
        <w:rPr>
          <w:rFonts w:ascii="Times New Roman" w:hAnsi="Times New Roman"/>
          <w:noProof/>
          <w:sz w:val="28"/>
          <w:szCs w:val="28"/>
          <w:lang w:val="ru-RU" w:eastAsia="fr-FR"/>
        </w:rPr>
        <w:t>Уменьшение на данную сумму налоговых обязательств организа</w:t>
      </w:r>
      <w:r w:rsidR="004849FF">
        <w:rPr>
          <w:rFonts w:ascii="Times New Roman" w:hAnsi="Times New Roman"/>
          <w:noProof/>
          <w:sz w:val="28"/>
          <w:szCs w:val="28"/>
          <w:lang w:val="ru-RU" w:eastAsia="fr-FR"/>
        </w:rPr>
        <w:t>ц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ru-RU" w:eastAsia="fr-FR"/>
        </w:rPr>
        <w:t>ий-налоговых резидентов Российской Федерации в отношении доходов, полученных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в результате реализации исключительных и неисключительных прав на результаты интеллектуальной деятельности</w:t>
      </w:r>
      <w:r>
        <w:rPr>
          <w:rFonts w:ascii="Times New Roman" w:hAnsi="Times New Roman"/>
          <w:noProof/>
          <w:sz w:val="28"/>
          <w:szCs w:val="28"/>
          <w:lang w:val="ru-RU" w:eastAsia="fr-FR"/>
        </w:rPr>
        <w:t xml:space="preserve">, будет означать </w:t>
      </w:r>
      <w:r w:rsidR="00542EBA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возможности для развития высокотехнологичного бизнеса и рост оборота результатов интеллектуальной деятельности в Российской Федерации. </w:t>
      </w:r>
      <w:r w:rsidR="00542EBA" w:rsidRPr="00542EBA">
        <w:rPr>
          <w:rFonts w:ascii="Times New Roman" w:hAnsi="Times New Roman"/>
          <w:noProof/>
          <w:sz w:val="28"/>
          <w:szCs w:val="28"/>
          <w:lang w:val="ru-RU" w:eastAsia="fr-FR"/>
        </w:rPr>
        <w:t>Развитие и внедрение новых технологий позволит создать дополнительное количество рабочих мест в российской экономике, что, в</w:t>
      </w:r>
      <w:r w:rsidR="00542EBA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 свою очередь, приведет к </w:t>
      </w:r>
      <w:r w:rsidR="00542EBA" w:rsidRPr="00542EBA">
        <w:rPr>
          <w:rFonts w:ascii="Times New Roman" w:hAnsi="Times New Roman"/>
          <w:noProof/>
          <w:sz w:val="28"/>
          <w:szCs w:val="28"/>
          <w:lang w:val="ru-RU" w:eastAsia="fr-FR"/>
        </w:rPr>
        <w:t>повышению уровня заработной платы</w:t>
      </w:r>
      <w:r w:rsidR="00864198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 </w:t>
      </w:r>
      <w:r w:rsidR="00542EBA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и росту налоговых </w:t>
      </w:r>
      <w:r w:rsidR="00542EBA" w:rsidRPr="00864198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отчислений в бюджеты Российской Федерации. Общая сумма </w:t>
      </w:r>
      <w:r w:rsidR="00355FC5" w:rsidRPr="00864198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поступлений </w:t>
      </w:r>
      <w:r w:rsidR="00355FC5" w:rsidRPr="001E208F">
        <w:rPr>
          <w:rFonts w:ascii="Times New Roman" w:hAnsi="Times New Roman"/>
          <w:noProof/>
          <w:color w:val="000000" w:themeColor="text1"/>
          <w:sz w:val="28"/>
          <w:szCs w:val="28"/>
          <w:lang w:val="ru-RU" w:eastAsia="fr-FR"/>
        </w:rPr>
        <w:t>за</w:t>
      </w:r>
      <w:r w:rsidR="00864198" w:rsidRPr="001E208F">
        <w:rPr>
          <w:rFonts w:ascii="Times New Roman" w:hAnsi="Times New Roman"/>
          <w:noProof/>
          <w:color w:val="000000" w:themeColor="text1"/>
          <w:sz w:val="28"/>
          <w:szCs w:val="28"/>
          <w:lang w:val="ru-RU" w:eastAsia="fr-FR"/>
        </w:rPr>
        <w:t xml:space="preserve"> 3 года составит не менее 21 млрд рублей</w:t>
      </w:r>
      <w:r w:rsidR="00355FC5" w:rsidRPr="001E208F">
        <w:rPr>
          <w:rFonts w:ascii="Times New Roman" w:hAnsi="Times New Roman"/>
          <w:noProof/>
          <w:color w:val="000000" w:themeColor="text1"/>
          <w:sz w:val="28"/>
          <w:szCs w:val="28"/>
          <w:lang w:val="ru-RU" w:eastAsia="fr-FR"/>
        </w:rPr>
        <w:t xml:space="preserve">. </w:t>
      </w:r>
      <w:r w:rsidR="00355FC5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Кроме этого, ожидаются </w:t>
      </w:r>
      <w:r w:rsidR="00864198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дополнительные </w:t>
      </w:r>
      <w:r w:rsidR="00355FC5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налоговые поступления </w:t>
      </w:r>
      <w:r w:rsidR="0027112F">
        <w:rPr>
          <w:rFonts w:ascii="Times New Roman" w:hAnsi="Times New Roman"/>
          <w:noProof/>
          <w:sz w:val="28"/>
          <w:szCs w:val="28"/>
          <w:lang w:val="ru-RU" w:eastAsia="fr-FR"/>
        </w:rPr>
        <w:t>в размере 5</w:t>
      </w:r>
      <w:r w:rsidR="00FA7FE8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 процентов</w:t>
      </w:r>
      <w:r w:rsidR="0027112F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 </w:t>
      </w:r>
      <w:r w:rsidR="00355FC5">
        <w:rPr>
          <w:rFonts w:ascii="Times New Roman" w:hAnsi="Times New Roman"/>
          <w:noProof/>
          <w:sz w:val="28"/>
          <w:szCs w:val="28"/>
          <w:lang w:val="ru-RU" w:eastAsia="fr-FR"/>
        </w:rPr>
        <w:t xml:space="preserve">от доходов </w:t>
      </w:r>
      <w:r w:rsidR="00355FC5">
        <w:rPr>
          <w:rFonts w:ascii="Times New Roman" w:hAnsi="Times New Roman"/>
          <w:noProof/>
          <w:sz w:val="28"/>
          <w:szCs w:val="28"/>
          <w:lang w:val="ru-RU" w:eastAsia="fr-FR"/>
        </w:rPr>
        <w:lastRenderedPageBreak/>
        <w:t xml:space="preserve">компаний, которые сейчас не являются налоговыми резидентами Российской Федерации. </w:t>
      </w:r>
    </w:p>
    <w:p w14:paraId="09896ECF" w14:textId="5DB5A9E4" w:rsidR="00355FC5" w:rsidRPr="00385BB0" w:rsidRDefault="0027112F" w:rsidP="006B4587">
      <w:pPr>
        <w:spacing w:before="60"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5415E">
        <w:rPr>
          <w:rFonts w:ascii="Times New Roman" w:hAnsi="Times New Roman"/>
          <w:sz w:val="28"/>
          <w:szCs w:val="28"/>
          <w:lang w:val="ru-RU"/>
        </w:rPr>
        <w:t>редлагаем</w:t>
      </w:r>
      <w:r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="00D5415E">
        <w:rPr>
          <w:rFonts w:ascii="Times New Roman" w:hAnsi="Times New Roman"/>
          <w:sz w:val="28"/>
          <w:szCs w:val="28"/>
          <w:lang w:val="ru-RU"/>
        </w:rPr>
        <w:t>мер</w:t>
      </w:r>
      <w:r>
        <w:rPr>
          <w:rFonts w:ascii="Times New Roman" w:hAnsi="Times New Roman"/>
          <w:sz w:val="28"/>
          <w:szCs w:val="28"/>
          <w:lang w:val="ru-RU"/>
        </w:rPr>
        <w:t>а окажет положительное влияние на</w:t>
      </w:r>
      <w:r w:rsidR="00D541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достижение</w:t>
      </w:r>
      <w:r w:rsidR="00D5415E">
        <w:rPr>
          <w:rFonts w:ascii="Times New Roman" w:hAnsi="Times New Roman"/>
          <w:sz w:val="28"/>
          <w:szCs w:val="28"/>
          <w:lang w:val="ru-RU"/>
        </w:rPr>
        <w:t xml:space="preserve"> целевых показателей </w:t>
      </w:r>
      <w:r>
        <w:rPr>
          <w:rFonts w:ascii="Times New Roman" w:hAnsi="Times New Roman"/>
          <w:sz w:val="28"/>
          <w:szCs w:val="28"/>
          <w:lang w:val="ru-RU"/>
        </w:rPr>
        <w:t xml:space="preserve">Стратегии инновационного развития Российской Федерации до 2020 года </w:t>
      </w:r>
      <w:r w:rsidR="00D5415E">
        <w:rPr>
          <w:rFonts w:ascii="Times New Roman" w:hAnsi="Times New Roman"/>
          <w:sz w:val="28"/>
          <w:szCs w:val="28"/>
          <w:lang w:val="ru-RU"/>
        </w:rPr>
        <w:t>по увеличению</w:t>
      </w:r>
      <w:r w:rsidR="00D5415E" w:rsidRPr="00D5415E">
        <w:rPr>
          <w:rFonts w:ascii="Times New Roman" w:hAnsi="Times New Roman"/>
          <w:sz w:val="28"/>
          <w:szCs w:val="28"/>
          <w:lang w:val="ru-RU"/>
        </w:rPr>
        <w:t xml:space="preserve">   количества   патентов,   ежегодно  регистрируемых</w:t>
      </w:r>
      <w:r w:rsidR="00D541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15E" w:rsidRPr="00D5415E">
        <w:rPr>
          <w:rFonts w:ascii="Times New Roman" w:hAnsi="Times New Roman"/>
          <w:sz w:val="28"/>
          <w:szCs w:val="28"/>
          <w:lang w:val="ru-RU"/>
        </w:rPr>
        <w:t>российскими   физическими   и   юридическими   лицами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5415E">
        <w:rPr>
          <w:rFonts w:ascii="Times New Roman" w:hAnsi="Times New Roman"/>
          <w:sz w:val="28"/>
          <w:szCs w:val="28"/>
          <w:lang w:val="ru-RU"/>
        </w:rPr>
        <w:t xml:space="preserve"> и росту коэффициента изобретательской активности 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(количество </w:t>
      </w:r>
      <w:r w:rsidRPr="0027112F">
        <w:rPr>
          <w:rFonts w:ascii="Times New Roman" w:hAnsi="Times New Roman"/>
          <w:sz w:val="28"/>
          <w:szCs w:val="28"/>
          <w:lang w:val="ru-RU"/>
        </w:rPr>
        <w:t>отечественных патентных заявок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112F">
        <w:rPr>
          <w:rFonts w:ascii="Times New Roman" w:hAnsi="Times New Roman"/>
          <w:sz w:val="28"/>
          <w:szCs w:val="28"/>
          <w:lang w:val="ru-RU"/>
        </w:rPr>
        <w:t xml:space="preserve">    изобретения, поданных в России, в расчете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112F">
        <w:rPr>
          <w:rFonts w:ascii="Times New Roman" w:hAnsi="Times New Roman"/>
          <w:sz w:val="28"/>
          <w:szCs w:val="28"/>
          <w:lang w:val="ru-RU"/>
        </w:rPr>
        <w:t xml:space="preserve">на 10 тыс. чел.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7112F">
        <w:rPr>
          <w:rFonts w:ascii="Times New Roman" w:hAnsi="Times New Roman"/>
          <w:sz w:val="28"/>
          <w:szCs w:val="28"/>
          <w:lang w:val="ru-RU"/>
        </w:rPr>
        <w:t>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385BB0">
        <w:rPr>
          <w:rFonts w:ascii="Times New Roman" w:hAnsi="Times New Roman"/>
          <w:sz w:val="28"/>
          <w:szCs w:val="28"/>
          <w:lang w:val="ru-RU"/>
        </w:rPr>
        <w:t>Исследования ОЭСР показывают, что в странах, которые ввели</w:t>
      </w:r>
      <w:r w:rsidR="00385BB0" w:rsidRPr="00385B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BB0">
        <w:rPr>
          <w:rFonts w:ascii="Times New Roman" w:hAnsi="Times New Roman"/>
          <w:sz w:val="28"/>
          <w:szCs w:val="28"/>
          <w:lang w:val="ru-RU"/>
        </w:rPr>
        <w:t xml:space="preserve">режим </w:t>
      </w:r>
      <w:r w:rsidR="00385BB0">
        <w:rPr>
          <w:rFonts w:ascii="Times New Roman" w:hAnsi="Times New Roman"/>
          <w:sz w:val="28"/>
          <w:szCs w:val="28"/>
        </w:rPr>
        <w:t>Patent</w:t>
      </w:r>
      <w:r w:rsidR="00385BB0" w:rsidRPr="00385B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BB0">
        <w:rPr>
          <w:rFonts w:ascii="Times New Roman" w:hAnsi="Times New Roman"/>
          <w:sz w:val="28"/>
          <w:szCs w:val="28"/>
        </w:rPr>
        <w:t>Box</w:t>
      </w:r>
      <w:r w:rsidR="00385BB0" w:rsidRPr="00385BB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85BB0">
        <w:rPr>
          <w:rFonts w:ascii="Times New Roman" w:hAnsi="Times New Roman"/>
          <w:sz w:val="28"/>
          <w:szCs w:val="28"/>
          <w:lang w:val="ru-RU"/>
        </w:rPr>
        <w:t>снижение эффективной налоговой ставки по налогу на прибыль в отношении доходов от результатов интеллектуальной деятельности на каждые 5 процентных пунктов в среднем приводит к росту количества запатентованных объектов интеллектуальной собственности на 6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385BB0"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6"/>
      </w:r>
      <w:r w:rsidR="00385BB0">
        <w:rPr>
          <w:rFonts w:ascii="Times New Roman" w:hAnsi="Times New Roman"/>
          <w:sz w:val="28"/>
          <w:szCs w:val="28"/>
          <w:lang w:val="ru-RU"/>
        </w:rPr>
        <w:t>. Таким образом, при</w:t>
      </w:r>
      <w:r w:rsidR="00AE513E">
        <w:rPr>
          <w:rFonts w:ascii="Times New Roman" w:hAnsi="Times New Roman"/>
          <w:sz w:val="28"/>
          <w:szCs w:val="28"/>
          <w:lang w:val="ru-RU"/>
        </w:rPr>
        <w:t>менение указанной меры в России позволит увеличить количество патентов на 18</w:t>
      </w:r>
      <w:r w:rsidR="00FA7FE8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AE513E">
        <w:rPr>
          <w:rFonts w:ascii="Times New Roman" w:hAnsi="Times New Roman"/>
          <w:sz w:val="28"/>
          <w:szCs w:val="28"/>
          <w:lang w:val="ru-RU"/>
        </w:rPr>
        <w:t xml:space="preserve"> и повысит коэффициент изобретательской активности до 2.15 (Таблица 3). </w:t>
      </w:r>
    </w:p>
    <w:p w14:paraId="786CB1BE" w14:textId="77777777" w:rsidR="00F90928" w:rsidRDefault="00F90928" w:rsidP="006B4587">
      <w:pPr>
        <w:spacing w:before="6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3863">
        <w:rPr>
          <w:rFonts w:ascii="Times New Roman" w:hAnsi="Times New Roman"/>
          <w:sz w:val="28"/>
          <w:szCs w:val="28"/>
          <w:lang w:val="ru-RU"/>
        </w:rPr>
        <w:tab/>
      </w:r>
      <w:r w:rsidR="00355FC5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ведение ряда ограничений для применения указанной меры, а именно, применение </w:t>
      </w:r>
      <w:r w:rsidRPr="00AE513E">
        <w:rPr>
          <w:rFonts w:ascii="Times New Roman" w:hAnsi="Times New Roman"/>
          <w:sz w:val="28"/>
          <w:szCs w:val="28"/>
          <w:lang w:val="ru-RU"/>
        </w:rPr>
        <w:t>пониженной ставки только в отношении доходов от распоряжения правами на зарегистрированные объекты интеллектуальной собственности за исключением средств индивидуализации, только на вновь созданные объекты интеллектуальной собственности, позволит применить сбалансированный подход к риску значительного объема бюджетны</w:t>
      </w:r>
      <w:r w:rsidR="00AE513E">
        <w:rPr>
          <w:rFonts w:ascii="Times New Roman" w:hAnsi="Times New Roman"/>
          <w:sz w:val="28"/>
          <w:szCs w:val="28"/>
          <w:lang w:val="ru-RU"/>
        </w:rPr>
        <w:t>х потерь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CEBCF37" w14:textId="77777777" w:rsidR="00F90928" w:rsidRDefault="00F90928" w:rsidP="006B4587">
      <w:pPr>
        <w:spacing w:before="60" w:line="36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Зарубежные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стран</w:t>
      </w:r>
      <w:r>
        <w:rPr>
          <w:rFonts w:ascii="Times New Roman" w:hAnsi="Times New Roman"/>
          <w:sz w:val="28"/>
          <w:szCs w:val="28"/>
          <w:lang w:val="ru-RU"/>
        </w:rPr>
        <w:t>ы, установившие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13E">
        <w:rPr>
          <w:rFonts w:ascii="Times New Roman" w:hAnsi="Times New Roman"/>
          <w:sz w:val="28"/>
          <w:szCs w:val="28"/>
          <w:lang w:val="ru-RU"/>
        </w:rPr>
        <w:t>предлагаемые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налоговые режимы в отношении </w:t>
      </w:r>
      <w:r>
        <w:rPr>
          <w:rFonts w:ascii="Times New Roman" w:hAnsi="Times New Roman"/>
          <w:sz w:val="28"/>
          <w:szCs w:val="28"/>
          <w:lang w:val="ru-RU"/>
        </w:rPr>
        <w:t>доходов от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 объектов интеллектуал</w:t>
      </w:r>
      <w:r>
        <w:rPr>
          <w:rFonts w:ascii="Times New Roman" w:hAnsi="Times New Roman"/>
          <w:sz w:val="28"/>
          <w:szCs w:val="28"/>
          <w:lang w:val="ru-RU"/>
        </w:rPr>
        <w:t>ьной собственности, демонстрирую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т положительную динамику 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снижения доли 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государственного </w:t>
      </w:r>
      <w:r w:rsidRPr="00CA3863">
        <w:rPr>
          <w:rFonts w:ascii="Times New Roman" w:hAnsi="Times New Roman"/>
          <w:sz w:val="28"/>
          <w:szCs w:val="28"/>
          <w:lang w:val="ru-RU"/>
        </w:rPr>
        <w:lastRenderedPageBreak/>
        <w:t xml:space="preserve">финансирования НИОКР </w:t>
      </w:r>
      <w:r>
        <w:rPr>
          <w:rFonts w:ascii="Times New Roman" w:hAnsi="Times New Roman"/>
          <w:sz w:val="28"/>
          <w:szCs w:val="28"/>
          <w:lang w:val="ru-RU"/>
        </w:rPr>
        <w:t xml:space="preserve">(Таблица 2, по данным </w:t>
      </w:r>
      <w:r w:rsidRPr="00CA3863">
        <w:rPr>
          <w:rFonts w:ascii="Times New Roman" w:hAnsi="Times New Roman"/>
          <w:sz w:val="28"/>
          <w:szCs w:val="28"/>
          <w:lang w:val="ru-RU"/>
        </w:rPr>
        <w:t>Института статистики ЮНЕСКО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A386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D79614B" w14:textId="77777777" w:rsidR="00F90928" w:rsidRPr="00CA3863" w:rsidRDefault="00F90928" w:rsidP="00F90928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CA386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Таблица 1.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Выпадающие доходы</w:t>
      </w:r>
      <w:r w:rsidRPr="00CA386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бюджетов Российской Федерации при увеличении коэффициента повышенного вычета расходов на НИОКР до 2.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484"/>
        <w:gridCol w:w="7495"/>
        <w:gridCol w:w="1826"/>
      </w:tblGrid>
      <w:tr w:rsidR="00F90928" w:rsidRPr="00CA3863" w14:paraId="06C3FEF0" w14:textId="77777777" w:rsidTr="003949A8"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6853D" w14:textId="77777777" w:rsidR="00F90928" w:rsidRPr="008E5686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E56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CE8" w14:textId="77777777" w:rsidR="00F90928" w:rsidRPr="008E5686" w:rsidRDefault="00F90928" w:rsidP="00AE513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E5686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8E56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686">
              <w:rPr>
                <w:rFonts w:ascii="Times New Roman" w:eastAsia="Times New Roman" w:hAnsi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84B" w14:textId="77777777" w:rsidR="00F90928" w:rsidRPr="008E5686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E5686"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  <w:proofErr w:type="spellEnd"/>
            <w:r w:rsidRPr="008E56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686">
              <w:rPr>
                <w:rFonts w:ascii="Times New Roman" w:eastAsia="Times New Roman" w:hAnsi="Times New Roman"/>
                <w:sz w:val="28"/>
                <w:szCs w:val="28"/>
              </w:rPr>
              <w:t>показателя</w:t>
            </w:r>
            <w:proofErr w:type="spellEnd"/>
            <w:r w:rsidRPr="008E56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0928" w:rsidRPr="008E5686" w14:paraId="7277BAEB" w14:textId="77777777" w:rsidTr="003949A8">
        <w:trPr>
          <w:trHeight w:val="6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800ED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3F5E" w14:textId="77777777" w:rsidR="00F90928" w:rsidRPr="00095AE1" w:rsidRDefault="00F90928" w:rsidP="00AE51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Сумм</w:t>
            </w:r>
            <w:r w:rsidR="008E56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 исчисленного налога на прибыль, 2016 г.</w:t>
            </w: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095A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всего</w:t>
            </w: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тыс. руб.*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C6A0" w14:textId="77777777" w:rsidR="00F90928" w:rsidRPr="00095AE1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592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269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384</w:t>
            </w:r>
          </w:p>
        </w:tc>
      </w:tr>
      <w:tr w:rsidR="00F90928" w:rsidRPr="00CA3863" w14:paraId="3677D589" w14:textId="77777777" w:rsidTr="003949A8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E8E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5116" w14:textId="77777777" w:rsidR="00F90928" w:rsidRPr="00095AE1" w:rsidRDefault="00F90928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Расходы на НИОКР по перечню, установленному Правительством Российской Федерации (с учетом применения </w:t>
            </w:r>
            <w:proofErr w:type="spellStart"/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коэфф</w:t>
            </w:r>
            <w:proofErr w:type="spellEnd"/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1.5)</w:t>
            </w: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тыс. руб.*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A70" w14:textId="77777777" w:rsidR="00F90928" w:rsidRPr="00095AE1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865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081</w:t>
            </w:r>
          </w:p>
        </w:tc>
      </w:tr>
      <w:tr w:rsidR="00F90928" w:rsidRPr="00CA3863" w14:paraId="252D0AAD" w14:textId="77777777" w:rsidTr="003949A8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35C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B0E" w14:textId="77777777" w:rsidR="00F90928" w:rsidRPr="00095AE1" w:rsidRDefault="00F90928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Расходы на НИОКР по перечню, установленному Правительством Российской Федерации (фактический объем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расходов</w:t>
            </w: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без применения </w:t>
            </w:r>
            <w:proofErr w:type="spellStart"/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коэфф</w:t>
            </w:r>
            <w:proofErr w:type="spellEnd"/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1.5)</w:t>
            </w: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844" w14:textId="77777777" w:rsidR="00F90928" w:rsidRPr="00095AE1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243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387</w:t>
            </w:r>
          </w:p>
        </w:tc>
      </w:tr>
      <w:tr w:rsidR="00F90928" w:rsidRPr="00CA3863" w14:paraId="037E0970" w14:textId="77777777" w:rsidTr="003949A8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5DBF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C7E" w14:textId="77777777" w:rsidR="00F90928" w:rsidRPr="00180192" w:rsidRDefault="00F90928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Выпадающие доходы при применении коэффициента 1.5</w:t>
            </w: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4B06" w14:textId="77777777" w:rsidR="00F90928" w:rsidRPr="00095AE1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524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339</w:t>
            </w:r>
          </w:p>
        </w:tc>
      </w:tr>
      <w:tr w:rsidR="00F90928" w:rsidRPr="008E5686" w14:paraId="20417513" w14:textId="77777777" w:rsidTr="003949A8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284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F79A" w14:textId="77777777" w:rsidR="00F90928" w:rsidRPr="00095AE1" w:rsidRDefault="008E5686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Сценарий 1. </w:t>
            </w:r>
            <w:r w:rsidR="00F90928"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Выпадающие доходы при сохранении объема расходов на НИОКР по перечню, с учетом увеличения коэффициента до 2</w:t>
            </w:r>
            <w:r w:rsidR="00F90928"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F90928"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AE3" w14:textId="77777777" w:rsidR="00F90928" w:rsidRPr="008E5686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1,048,</w:t>
            </w:r>
            <w:r w:rsidR="008E5686" w:rsidRPr="008E56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677</w:t>
            </w:r>
          </w:p>
        </w:tc>
      </w:tr>
      <w:tr w:rsidR="00F90928" w:rsidRPr="00CA3863" w14:paraId="6DA22477" w14:textId="77777777" w:rsidTr="003949A8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0CA2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5534" w14:textId="77777777" w:rsidR="00F90928" w:rsidRPr="00095AE1" w:rsidRDefault="00F90928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Доля выпадающих доходов </w:t>
            </w: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 коэффициенте 1.5</w:t>
            </w: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поступлений по налогу на прибыль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821" w14:textId="77777777" w:rsidR="00F90928" w:rsidRPr="000073FD" w:rsidRDefault="000073FD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</w:tr>
      <w:tr w:rsidR="00F90928" w:rsidRPr="00CA3863" w14:paraId="4894EC69" w14:textId="77777777" w:rsidTr="003949A8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834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6D1" w14:textId="77777777" w:rsidR="00F90928" w:rsidRPr="00095AE1" w:rsidRDefault="00F90928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Доля выпадающих доходов</w:t>
            </w: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при коэффициенте 2</w:t>
            </w: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поступлений по налогу на прибыл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ь.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850C" w14:textId="77777777" w:rsidR="00F90928" w:rsidRPr="000073FD" w:rsidRDefault="000073FD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</w:tr>
      <w:tr w:rsidR="00F90928" w:rsidRPr="000073FD" w14:paraId="5ECE7F33" w14:textId="77777777" w:rsidTr="003949A8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3D3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AAA" w14:textId="77777777" w:rsidR="00F90928" w:rsidRPr="00095AE1" w:rsidRDefault="000073FD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Сценарий 2. </w:t>
            </w:r>
            <w:r w:rsidR="00F90928"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Выпадающие доходы, при увеличении р</w:t>
            </w:r>
            <w:r w:rsidR="00F909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асходов на НИОКР по перечню в 2</w:t>
            </w:r>
            <w:r w:rsidR="00F90928"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раз</w:t>
            </w:r>
            <w:r w:rsidR="00F909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F90928"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при коэффициенте 2</w:t>
            </w:r>
            <w:r w:rsidR="00F90928"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F90928"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CA65" w14:textId="77777777" w:rsidR="00F90928" w:rsidRPr="00095AE1" w:rsidRDefault="00F90928" w:rsidP="000073F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r w:rsidR="000073FD" w:rsidRPr="000073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0073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,097,355</w:t>
            </w:r>
          </w:p>
        </w:tc>
      </w:tr>
      <w:tr w:rsidR="00F90928" w:rsidRPr="00CA3863" w14:paraId="2DC7009D" w14:textId="77777777" w:rsidTr="003949A8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A0B1" w14:textId="77777777" w:rsidR="00F90928" w:rsidRPr="00CA3863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5FD" w14:textId="77777777" w:rsidR="00F90928" w:rsidRPr="00095AE1" w:rsidRDefault="00F90928" w:rsidP="00AE513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Доля выпадающих доходов</w:t>
            </w: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при коэффициенте 2</w:t>
            </w: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при увеличении расходов на НИОКР по перечню в 2 раза,</w:t>
            </w:r>
            <w:r w:rsidRPr="00CA38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%</w:t>
            </w: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поступлений по налогу на прибыл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ь.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CA9" w14:textId="77777777" w:rsidR="00F90928" w:rsidRPr="000073FD" w:rsidRDefault="00F90928" w:rsidP="003949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5A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r w:rsidR="00007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0073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007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0073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</w:tr>
    </w:tbl>
    <w:p w14:paraId="466F4C1E" w14:textId="77777777" w:rsidR="00F90928" w:rsidRPr="00CA3863" w:rsidRDefault="00F90928" w:rsidP="00F90928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A3863">
        <w:rPr>
          <w:rFonts w:ascii="Times New Roman" w:hAnsi="Times New Roman"/>
          <w:sz w:val="20"/>
          <w:szCs w:val="28"/>
          <w:lang w:val="ru-RU"/>
        </w:rPr>
        <w:t>(*) фактический показатель, ежегодная статистическая налоговая отчетность Федеральной налоговой службы Российско</w:t>
      </w:r>
      <w:r w:rsidR="008E5686">
        <w:rPr>
          <w:rFonts w:ascii="Times New Roman" w:hAnsi="Times New Roman"/>
          <w:sz w:val="20"/>
          <w:szCs w:val="28"/>
          <w:lang w:val="ru-RU"/>
        </w:rPr>
        <w:t>й Федерации, форма № 5-П за 2016</w:t>
      </w:r>
      <w:r w:rsidRPr="00CA3863">
        <w:rPr>
          <w:rFonts w:ascii="Times New Roman" w:hAnsi="Times New Roman"/>
          <w:sz w:val="20"/>
          <w:szCs w:val="28"/>
          <w:lang w:val="ru-RU"/>
        </w:rPr>
        <w:t xml:space="preserve"> г</w:t>
      </w:r>
      <w:r w:rsidRPr="00CA3863">
        <w:rPr>
          <w:rFonts w:ascii="Times New Roman" w:hAnsi="Times New Roman"/>
          <w:sz w:val="28"/>
          <w:szCs w:val="28"/>
          <w:lang w:val="ru-RU"/>
        </w:rPr>
        <w:t>.</w:t>
      </w:r>
    </w:p>
    <w:p w14:paraId="36C806DF" w14:textId="77777777" w:rsidR="00F90928" w:rsidRDefault="00F90928" w:rsidP="00F90928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14:paraId="32BC6909" w14:textId="77777777" w:rsidR="00F90928" w:rsidRPr="00CA3863" w:rsidRDefault="00F90928" w:rsidP="00F90928">
      <w:pPr>
        <w:spacing w:after="160" w:line="259" w:lineRule="auto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Таблица 2</w:t>
      </w:r>
      <w:r w:rsidRPr="00CA386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Доля государственного финансирования НИОКР в странах, применяющих режим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Patent</w:t>
      </w:r>
      <w:r w:rsidRPr="00BE2D96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Box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9"/>
        <w:gridCol w:w="1100"/>
        <w:gridCol w:w="1102"/>
        <w:gridCol w:w="1099"/>
        <w:gridCol w:w="1101"/>
        <w:gridCol w:w="1101"/>
      </w:tblGrid>
      <w:tr w:rsidR="00542EBA" w:rsidRPr="00E94001" w14:paraId="3F36BF4C" w14:textId="77777777" w:rsidTr="00542EBA">
        <w:trPr>
          <w:trHeight w:val="492"/>
        </w:trPr>
        <w:tc>
          <w:tcPr>
            <w:tcW w:w="2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57D0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Страна (год начала применения </w:t>
            </w: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lastRenderedPageBreak/>
              <w:t>режима)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7C5C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Доля государственного финансирования </w:t>
            </w: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lastRenderedPageBreak/>
              <w:t>НИОКР, в %</w:t>
            </w:r>
          </w:p>
        </w:tc>
      </w:tr>
      <w:tr w:rsidR="00542EBA" w:rsidRPr="00CA3863" w14:paraId="1483A015" w14:textId="77777777" w:rsidTr="00542EBA">
        <w:trPr>
          <w:trHeight w:val="170"/>
        </w:trPr>
        <w:tc>
          <w:tcPr>
            <w:tcW w:w="2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ECD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04C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5493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5163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F78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3387" w14:textId="77777777" w:rsidR="00542EBA" w:rsidRPr="00AC0F60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AC0F6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542EBA" w:rsidRPr="00CA3863" w14:paraId="344488A4" w14:textId="77777777" w:rsidTr="00542EBA">
        <w:trPr>
          <w:trHeight w:val="1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F789" w14:textId="77777777" w:rsidR="00542EBA" w:rsidRPr="000073FD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0073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F532" w14:textId="77777777" w:rsidR="00542EBA" w:rsidRPr="00542EBA" w:rsidRDefault="00542EBA" w:rsidP="00542EBA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542EBA">
              <w:rPr>
                <w:rFonts w:ascii="Times New Roman" w:eastAsia="Times New Roman" w:hAnsi="Times New Roman"/>
                <w:i/>
                <w:sz w:val="28"/>
                <w:szCs w:val="28"/>
              </w:rPr>
              <w:t>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F625E" w14:textId="77777777" w:rsidR="00542EBA" w:rsidRPr="00542EBA" w:rsidRDefault="00542EBA" w:rsidP="00542EBA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42EBA">
              <w:rPr>
                <w:rFonts w:ascii="Times New Roman" w:eastAsia="Times New Roman" w:hAnsi="Times New Roman"/>
                <w:i/>
                <w:sz w:val="28"/>
                <w:szCs w:val="28"/>
              </w:rPr>
              <w:t>67.8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D9CDE" w14:textId="77777777" w:rsidR="00542EBA" w:rsidRPr="00542EBA" w:rsidRDefault="00542EBA" w:rsidP="00542EBA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42EBA">
              <w:rPr>
                <w:rFonts w:ascii="Times New Roman" w:eastAsia="Times New Roman" w:hAnsi="Times New Roman"/>
                <w:i/>
                <w:sz w:val="28"/>
                <w:szCs w:val="28"/>
              </w:rPr>
              <w:t>67.6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DFFE" w14:textId="77777777" w:rsidR="00542EBA" w:rsidRPr="00542EBA" w:rsidRDefault="00542EBA" w:rsidP="00542EBA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42EBA">
              <w:rPr>
                <w:rFonts w:ascii="Times New Roman" w:eastAsia="Times New Roman" w:hAnsi="Times New Roman"/>
                <w:i/>
                <w:sz w:val="28"/>
                <w:szCs w:val="28"/>
              </w:rPr>
              <w:t>69.2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E9F8" w14:textId="77777777" w:rsidR="00542EBA" w:rsidRPr="00542EBA" w:rsidRDefault="00542EBA" w:rsidP="00542EBA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542EBA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69.5</w:t>
            </w:r>
          </w:p>
        </w:tc>
      </w:tr>
      <w:tr w:rsidR="00542EBA" w:rsidRPr="00CA3863" w14:paraId="32CFA828" w14:textId="77777777" w:rsidTr="00542EBA">
        <w:trPr>
          <w:trHeight w:val="1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23C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Китай (2007)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CA7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21.7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38E0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21.6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AC8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3997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20.3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3505" w14:textId="77777777" w:rsidR="00542EBA" w:rsidRPr="00542EBA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21.2</w:t>
            </w:r>
          </w:p>
        </w:tc>
      </w:tr>
      <w:tr w:rsidR="00542EBA" w:rsidRPr="00CA3863" w14:paraId="4631AF04" w14:textId="77777777" w:rsidTr="00542EBA">
        <w:trPr>
          <w:trHeight w:val="1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7DE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Нидерланды (2007)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879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33.9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9838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32.4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6327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9B99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32.7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FA8C" w14:textId="77777777" w:rsidR="00542EBA" w:rsidRPr="00355FC5" w:rsidRDefault="00355FC5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33.3</w:t>
            </w:r>
          </w:p>
        </w:tc>
      </w:tr>
      <w:tr w:rsidR="00542EBA" w:rsidRPr="00CA3863" w14:paraId="022B409B" w14:textId="77777777" w:rsidTr="00542EBA">
        <w:trPr>
          <w:trHeight w:val="1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47E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Бельгия (2007)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4006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23.4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EF8A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2DF1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28.5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41DA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3718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42EBA" w:rsidRPr="00CA3863" w14:paraId="22F4478F" w14:textId="77777777" w:rsidTr="00542EBA">
        <w:trPr>
          <w:trHeight w:val="17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637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Великобритания (2013</w:t>
            </w: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6C2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30.5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34BD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28.7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FC58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29.1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2F7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28.8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BCCA" w14:textId="77777777" w:rsidR="00542EBA" w:rsidRPr="00355FC5" w:rsidRDefault="00355FC5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27.9</w:t>
            </w:r>
          </w:p>
        </w:tc>
      </w:tr>
      <w:tr w:rsidR="00542EBA" w:rsidRPr="00CA3863" w14:paraId="516E08C2" w14:textId="77777777" w:rsidTr="00542EBA">
        <w:trPr>
          <w:trHeight w:val="17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F8F1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Венгрия (2003)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EDAC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38.1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BB32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36.9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5398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35.9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AAD4E" w14:textId="77777777" w:rsidR="00542EBA" w:rsidRPr="00CA3863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863">
              <w:rPr>
                <w:rFonts w:ascii="Times New Roman" w:eastAsia="Times New Roman" w:hAnsi="Times New Roman"/>
                <w:sz w:val="28"/>
                <w:szCs w:val="28"/>
              </w:rPr>
              <w:t>33.5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874A" w14:textId="77777777" w:rsidR="00542EBA" w:rsidRPr="00542EBA" w:rsidRDefault="00542EBA" w:rsidP="003949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34.6</w:t>
            </w:r>
          </w:p>
        </w:tc>
      </w:tr>
    </w:tbl>
    <w:p w14:paraId="0552E374" w14:textId="77777777" w:rsidR="00F90928" w:rsidRDefault="00F90928" w:rsidP="00F90928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2D96">
        <w:rPr>
          <w:rFonts w:ascii="Times New Roman" w:hAnsi="Times New Roman"/>
          <w:sz w:val="20"/>
          <w:szCs w:val="28"/>
          <w:lang w:val="ru-RU"/>
        </w:rPr>
        <w:t>(*) режим вводится постепенно и достигнет максимального уровня снижения ставки по налогу на прибыль к 2017 г.</w:t>
      </w:r>
    </w:p>
    <w:p w14:paraId="57EC9EF9" w14:textId="77777777" w:rsidR="00C35461" w:rsidRPr="00AC0F60" w:rsidRDefault="0027112F">
      <w:pPr>
        <w:rPr>
          <w:rFonts w:ascii="Times New Roman" w:hAnsi="Times New Roman"/>
          <w:i/>
          <w:sz w:val="28"/>
          <w:lang w:val="ru-RU"/>
        </w:rPr>
      </w:pPr>
      <w:r w:rsidRPr="00AC0F60">
        <w:rPr>
          <w:rFonts w:ascii="Times New Roman" w:hAnsi="Times New Roman"/>
          <w:i/>
          <w:sz w:val="28"/>
          <w:lang w:val="ru-RU"/>
        </w:rPr>
        <w:t>Таблица</w:t>
      </w:r>
      <w:r w:rsidR="00AC0F60" w:rsidRPr="00AC0F60">
        <w:rPr>
          <w:rFonts w:ascii="Times New Roman" w:hAnsi="Times New Roman"/>
          <w:i/>
          <w:sz w:val="28"/>
          <w:lang w:val="ru-RU"/>
        </w:rPr>
        <w:t xml:space="preserve"> 3. Патентная активность в Российской Федерации</w:t>
      </w:r>
    </w:p>
    <w:p w14:paraId="2B9B9B63" w14:textId="77777777" w:rsidR="0027112F" w:rsidRPr="0027112F" w:rsidRDefault="0027112F">
      <w:pPr>
        <w:rPr>
          <w:rFonts w:ascii="Times New Roman" w:hAnsi="Times New Roman"/>
          <w:sz w:val="28"/>
          <w:lang w:val="ru-RU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1560"/>
      </w:tblGrid>
      <w:tr w:rsidR="00AC0F60" w:rsidRPr="00E94001" w14:paraId="02BCF6AE" w14:textId="77777777" w:rsidTr="00AC0F60">
        <w:trPr>
          <w:trHeight w:val="300"/>
        </w:trPr>
        <w:tc>
          <w:tcPr>
            <w:tcW w:w="3369" w:type="dxa"/>
            <w:noWrap/>
            <w:hideMark/>
          </w:tcPr>
          <w:p w14:paraId="0BA4F225" w14:textId="77777777" w:rsidR="00AC0F60" w:rsidRPr="00AC0F60" w:rsidRDefault="00AC0F6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Показатель</w:t>
            </w:r>
          </w:p>
        </w:tc>
        <w:tc>
          <w:tcPr>
            <w:tcW w:w="1559" w:type="dxa"/>
          </w:tcPr>
          <w:p w14:paraId="51EA2C5D" w14:textId="77777777" w:rsidR="00AC0F60" w:rsidRPr="00AC0F60" w:rsidRDefault="00AC0F60" w:rsidP="0027112F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2014</w:t>
            </w:r>
          </w:p>
        </w:tc>
        <w:tc>
          <w:tcPr>
            <w:tcW w:w="1559" w:type="dxa"/>
            <w:noWrap/>
            <w:hideMark/>
          </w:tcPr>
          <w:p w14:paraId="1FB4CB19" w14:textId="77777777" w:rsidR="00AC0F60" w:rsidRPr="0027112F" w:rsidRDefault="00AC0F60" w:rsidP="0027112F">
            <w:pPr>
              <w:rPr>
                <w:rFonts w:ascii="Times New Roman" w:hAnsi="Times New Roman"/>
                <w:sz w:val="28"/>
              </w:rPr>
            </w:pPr>
            <w:r w:rsidRPr="0027112F"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1559" w:type="dxa"/>
            <w:noWrap/>
            <w:hideMark/>
          </w:tcPr>
          <w:p w14:paraId="75E0335A" w14:textId="77777777" w:rsidR="00AC0F60" w:rsidRPr="0027112F" w:rsidRDefault="00AC0F60" w:rsidP="0027112F">
            <w:pPr>
              <w:rPr>
                <w:rFonts w:ascii="Times New Roman" w:hAnsi="Times New Roman"/>
                <w:sz w:val="28"/>
              </w:rPr>
            </w:pPr>
            <w:r w:rsidRPr="0027112F">
              <w:rPr>
                <w:rFonts w:ascii="Times New Roman" w:hAnsi="Times New Roman"/>
                <w:sz w:val="28"/>
              </w:rPr>
              <w:t>2016</w:t>
            </w:r>
          </w:p>
        </w:tc>
        <w:tc>
          <w:tcPr>
            <w:tcW w:w="1560" w:type="dxa"/>
            <w:noWrap/>
            <w:hideMark/>
          </w:tcPr>
          <w:p w14:paraId="351F0985" w14:textId="77777777" w:rsidR="00AC0F60" w:rsidRPr="00385BB0" w:rsidRDefault="00385BB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Прогноз при </w:t>
            </w:r>
            <w:r w:rsidR="00AC0F60">
              <w:rPr>
                <w:rFonts w:ascii="Times New Roman" w:hAnsi="Times New Roman"/>
                <w:sz w:val="28"/>
                <w:lang w:val="ru-RU"/>
              </w:rPr>
              <w:t xml:space="preserve">введении </w:t>
            </w:r>
            <w:r w:rsidR="00AC0F60">
              <w:rPr>
                <w:rFonts w:ascii="Times New Roman" w:hAnsi="Times New Roman"/>
                <w:sz w:val="28"/>
              </w:rPr>
              <w:t>Patent</w:t>
            </w:r>
            <w:r w:rsidR="00AC0F60" w:rsidRPr="00385BB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C0F60">
              <w:rPr>
                <w:rFonts w:ascii="Times New Roman" w:hAnsi="Times New Roman"/>
                <w:sz w:val="28"/>
              </w:rPr>
              <w:t>Box</w:t>
            </w:r>
          </w:p>
        </w:tc>
      </w:tr>
      <w:tr w:rsidR="00AC0F60" w:rsidRPr="0027112F" w14:paraId="673E1AD3" w14:textId="77777777" w:rsidTr="00AC0F60">
        <w:trPr>
          <w:trHeight w:val="300"/>
        </w:trPr>
        <w:tc>
          <w:tcPr>
            <w:tcW w:w="3369" w:type="dxa"/>
            <w:noWrap/>
            <w:hideMark/>
          </w:tcPr>
          <w:p w14:paraId="26503001" w14:textId="77777777" w:rsidR="00AC0F60" w:rsidRPr="00AC0F60" w:rsidRDefault="00AC0F60">
            <w:pPr>
              <w:rPr>
                <w:rFonts w:ascii="Times New Roman" w:hAnsi="Times New Roman"/>
                <w:sz w:val="28"/>
                <w:lang w:val="ru-RU"/>
              </w:rPr>
            </w:pPr>
            <w:r w:rsidRPr="00AC0F60">
              <w:rPr>
                <w:rFonts w:ascii="Times New Roman" w:hAnsi="Times New Roman"/>
                <w:sz w:val="28"/>
                <w:lang w:val="ru-RU"/>
              </w:rPr>
              <w:t xml:space="preserve">Подано заявок на изобретения </w:t>
            </w:r>
            <w:r>
              <w:rPr>
                <w:rFonts w:ascii="Times New Roman" w:hAnsi="Times New Roman"/>
                <w:sz w:val="28"/>
                <w:lang w:val="ru-RU"/>
              </w:rPr>
              <w:t>всего</w:t>
            </w:r>
          </w:p>
        </w:tc>
        <w:tc>
          <w:tcPr>
            <w:tcW w:w="1559" w:type="dxa"/>
          </w:tcPr>
          <w:p w14:paraId="6D4E5215" w14:textId="77777777" w:rsidR="00AC0F60" w:rsidRPr="00AC0F60" w:rsidRDefault="00AC0F6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40,308</w:t>
            </w:r>
          </w:p>
        </w:tc>
        <w:tc>
          <w:tcPr>
            <w:tcW w:w="1559" w:type="dxa"/>
            <w:noWrap/>
            <w:hideMark/>
          </w:tcPr>
          <w:p w14:paraId="70AFD78D" w14:textId="77777777" w:rsidR="00AC0F60" w:rsidRPr="00AC0F60" w:rsidRDefault="00AC0F6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>517</w:t>
            </w:r>
          </w:p>
        </w:tc>
        <w:tc>
          <w:tcPr>
            <w:tcW w:w="1559" w:type="dxa"/>
            <w:noWrap/>
            <w:hideMark/>
          </w:tcPr>
          <w:p w14:paraId="24ED3A07" w14:textId="77777777" w:rsidR="00AC0F60" w:rsidRPr="0027112F" w:rsidRDefault="00AC0F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41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>587</w:t>
            </w:r>
            <w:r w:rsidRPr="0027112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14:paraId="3BD7F77C" w14:textId="77777777" w:rsidR="00AC0F60" w:rsidRPr="00385BB0" w:rsidRDefault="00AC0F60" w:rsidP="00AC0F60">
            <w:pPr>
              <w:rPr>
                <w:rFonts w:ascii="Times New Roman" w:hAnsi="Times New Roman"/>
                <w:i/>
                <w:sz w:val="28"/>
              </w:rPr>
            </w:pPr>
            <w:r w:rsidRPr="00385BB0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385BB0" w:rsidRPr="00385BB0">
              <w:rPr>
                <w:rFonts w:ascii="Times New Roman" w:hAnsi="Times New Roman"/>
                <w:i/>
                <w:sz w:val="28"/>
              </w:rPr>
              <w:t>49</w:t>
            </w:r>
            <w:r w:rsidR="00385BB0" w:rsidRPr="00385BB0">
              <w:rPr>
                <w:rFonts w:ascii="Times New Roman" w:hAnsi="Times New Roman"/>
                <w:i/>
                <w:sz w:val="28"/>
                <w:lang w:val="ru-RU"/>
              </w:rPr>
              <w:t>,</w:t>
            </w:r>
            <w:r w:rsidRPr="00385BB0">
              <w:rPr>
                <w:rFonts w:ascii="Times New Roman" w:hAnsi="Times New Roman"/>
                <w:i/>
                <w:sz w:val="28"/>
              </w:rPr>
              <w:t xml:space="preserve">072   </w:t>
            </w:r>
          </w:p>
        </w:tc>
      </w:tr>
      <w:tr w:rsidR="00AC0F60" w:rsidRPr="0027112F" w14:paraId="4697701C" w14:textId="77777777" w:rsidTr="00AC0F60">
        <w:trPr>
          <w:trHeight w:val="300"/>
        </w:trPr>
        <w:tc>
          <w:tcPr>
            <w:tcW w:w="3369" w:type="dxa"/>
            <w:noWrap/>
            <w:hideMark/>
          </w:tcPr>
          <w:p w14:paraId="5497F521" w14:textId="77777777" w:rsidR="00AC0F60" w:rsidRPr="00AE513E" w:rsidRDefault="00AE513E">
            <w:pPr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Выдано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патентов</w:t>
            </w:r>
            <w:proofErr w:type="spellEnd"/>
          </w:p>
        </w:tc>
        <w:tc>
          <w:tcPr>
            <w:tcW w:w="1559" w:type="dxa"/>
          </w:tcPr>
          <w:p w14:paraId="64A3E314" w14:textId="77777777" w:rsidR="00AC0F60" w:rsidRPr="00AC0F60" w:rsidRDefault="00AC0F6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33,950</w:t>
            </w:r>
          </w:p>
        </w:tc>
        <w:tc>
          <w:tcPr>
            <w:tcW w:w="1559" w:type="dxa"/>
            <w:noWrap/>
            <w:hideMark/>
          </w:tcPr>
          <w:p w14:paraId="7E4B6C46" w14:textId="77777777" w:rsidR="00AC0F60" w:rsidRPr="0027112F" w:rsidRDefault="00AC0F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>706</w:t>
            </w:r>
            <w:r w:rsidRPr="0027112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2E85BCDB" w14:textId="77777777" w:rsidR="00AC0F60" w:rsidRPr="00AC0F60" w:rsidRDefault="00385BB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AC0F60">
              <w:rPr>
                <w:rFonts w:ascii="Times New Roman" w:hAnsi="Times New Roman"/>
                <w:sz w:val="28"/>
              </w:rPr>
              <w:t>536</w:t>
            </w:r>
          </w:p>
        </w:tc>
        <w:tc>
          <w:tcPr>
            <w:tcW w:w="1560" w:type="dxa"/>
            <w:noWrap/>
            <w:hideMark/>
          </w:tcPr>
          <w:p w14:paraId="5BAAE81C" w14:textId="77777777" w:rsidR="00AC0F60" w:rsidRPr="00385BB0" w:rsidRDefault="00385BB0" w:rsidP="00AC0F60">
            <w:pPr>
              <w:rPr>
                <w:rFonts w:ascii="Times New Roman" w:hAnsi="Times New Roman"/>
                <w:i/>
                <w:sz w:val="28"/>
              </w:rPr>
            </w:pPr>
            <w:r w:rsidRPr="00385BB0">
              <w:rPr>
                <w:rFonts w:ascii="Times New Roman" w:hAnsi="Times New Roman"/>
                <w:i/>
                <w:sz w:val="28"/>
              </w:rPr>
              <w:t>39</w:t>
            </w:r>
            <w:r w:rsidRPr="00385BB0">
              <w:rPr>
                <w:rFonts w:ascii="Times New Roman" w:hAnsi="Times New Roman"/>
                <w:i/>
                <w:sz w:val="28"/>
                <w:lang w:val="ru-RU"/>
              </w:rPr>
              <w:t>,</w:t>
            </w:r>
            <w:r w:rsidR="00AC0F60" w:rsidRPr="00385BB0">
              <w:rPr>
                <w:rFonts w:ascii="Times New Roman" w:hAnsi="Times New Roman"/>
                <w:i/>
                <w:sz w:val="28"/>
              </w:rPr>
              <w:t xml:space="preserve">572  </w:t>
            </w:r>
          </w:p>
        </w:tc>
      </w:tr>
      <w:tr w:rsidR="00AC0F60" w:rsidRPr="0027112F" w14:paraId="59D12675" w14:textId="77777777" w:rsidTr="00AC0F60">
        <w:trPr>
          <w:trHeight w:val="300"/>
        </w:trPr>
        <w:tc>
          <w:tcPr>
            <w:tcW w:w="3369" w:type="dxa"/>
            <w:noWrap/>
            <w:hideMark/>
          </w:tcPr>
          <w:p w14:paraId="3AB4B844" w14:textId="77777777" w:rsidR="00AC0F60" w:rsidRPr="00AC0F60" w:rsidRDefault="00AC0F60" w:rsidP="00AC0F6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Подано заявок на изобретения р</w:t>
            </w:r>
            <w:r w:rsidRPr="00AC0F60">
              <w:rPr>
                <w:rFonts w:ascii="Times New Roman" w:hAnsi="Times New Roman"/>
                <w:sz w:val="28"/>
                <w:lang w:val="ru-RU"/>
              </w:rPr>
              <w:t>оссийскими заявителями</w:t>
            </w:r>
          </w:p>
        </w:tc>
        <w:tc>
          <w:tcPr>
            <w:tcW w:w="1559" w:type="dxa"/>
          </w:tcPr>
          <w:p w14:paraId="420DD73A" w14:textId="77777777" w:rsidR="00AC0F60" w:rsidRPr="00AC0F60" w:rsidRDefault="00AC0F60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24,072</w:t>
            </w:r>
          </w:p>
        </w:tc>
        <w:tc>
          <w:tcPr>
            <w:tcW w:w="1559" w:type="dxa"/>
            <w:noWrap/>
            <w:hideMark/>
          </w:tcPr>
          <w:p w14:paraId="2806B3B3" w14:textId="77777777" w:rsidR="00AC0F60" w:rsidRPr="0027112F" w:rsidRDefault="00AC0F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27112F">
              <w:rPr>
                <w:rFonts w:ascii="Times New Roman" w:hAnsi="Times New Roman"/>
                <w:sz w:val="28"/>
              </w:rPr>
              <w:t xml:space="preserve">269 </w:t>
            </w:r>
          </w:p>
        </w:tc>
        <w:tc>
          <w:tcPr>
            <w:tcW w:w="1559" w:type="dxa"/>
            <w:noWrap/>
            <w:hideMark/>
          </w:tcPr>
          <w:p w14:paraId="24289586" w14:textId="77777777" w:rsidR="00AC0F60" w:rsidRPr="0027112F" w:rsidRDefault="00385B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AC0F60" w:rsidRPr="0027112F">
              <w:rPr>
                <w:rFonts w:ascii="Times New Roman" w:hAnsi="Times New Roman"/>
                <w:sz w:val="28"/>
              </w:rPr>
              <w:t xml:space="preserve">795 </w:t>
            </w:r>
          </w:p>
        </w:tc>
        <w:tc>
          <w:tcPr>
            <w:tcW w:w="1560" w:type="dxa"/>
            <w:noWrap/>
            <w:hideMark/>
          </w:tcPr>
          <w:p w14:paraId="43FCF1B3" w14:textId="77777777" w:rsidR="00AC0F60" w:rsidRPr="00385BB0" w:rsidRDefault="00385BB0" w:rsidP="00AC0F60">
            <w:pPr>
              <w:rPr>
                <w:rFonts w:ascii="Times New Roman" w:hAnsi="Times New Roman"/>
                <w:i/>
                <w:sz w:val="28"/>
              </w:rPr>
            </w:pPr>
            <w:r w:rsidRPr="00385BB0">
              <w:rPr>
                <w:rFonts w:ascii="Times New Roman" w:hAnsi="Times New Roman"/>
                <w:i/>
                <w:sz w:val="28"/>
              </w:rPr>
              <w:t>31</w:t>
            </w:r>
            <w:r w:rsidRPr="00385BB0">
              <w:rPr>
                <w:rFonts w:ascii="Times New Roman" w:hAnsi="Times New Roman"/>
                <w:i/>
                <w:sz w:val="28"/>
                <w:lang w:val="ru-RU"/>
              </w:rPr>
              <w:t>,</w:t>
            </w:r>
            <w:r w:rsidR="00AC0F60" w:rsidRPr="00385BB0">
              <w:rPr>
                <w:rFonts w:ascii="Times New Roman" w:hAnsi="Times New Roman"/>
                <w:i/>
                <w:sz w:val="28"/>
              </w:rPr>
              <w:t xml:space="preserve">618 </w:t>
            </w:r>
          </w:p>
        </w:tc>
      </w:tr>
      <w:tr w:rsidR="00385BB0" w:rsidRPr="00AC0F60" w14:paraId="4DA4FB67" w14:textId="77777777" w:rsidTr="00AC0F60">
        <w:trPr>
          <w:trHeight w:val="300"/>
        </w:trPr>
        <w:tc>
          <w:tcPr>
            <w:tcW w:w="3369" w:type="dxa"/>
            <w:noWrap/>
          </w:tcPr>
          <w:p w14:paraId="47BD4CD1" w14:textId="77777777" w:rsidR="00385BB0" w:rsidRPr="00AC0F60" w:rsidRDefault="00385BB0" w:rsidP="00AC0F60">
            <w:pPr>
              <w:rPr>
                <w:rFonts w:ascii="Times New Roman" w:hAnsi="Times New Roman"/>
                <w:sz w:val="28"/>
                <w:lang w:val="ru-RU"/>
              </w:rPr>
            </w:pPr>
            <w:r w:rsidRPr="00AC0F60">
              <w:rPr>
                <w:rFonts w:ascii="Times New Roman" w:hAnsi="Times New Roman"/>
                <w:sz w:val="28"/>
                <w:lang w:val="ru-RU"/>
              </w:rPr>
              <w:t xml:space="preserve">Коэффициент изобретательской активности </w:t>
            </w:r>
          </w:p>
          <w:p w14:paraId="4438C07F" w14:textId="77777777" w:rsidR="00385BB0" w:rsidRPr="00AC0F60" w:rsidRDefault="00385BB0" w:rsidP="00AC0F60">
            <w:pPr>
              <w:rPr>
                <w:rFonts w:ascii="Times New Roman" w:hAnsi="Times New Roman"/>
                <w:sz w:val="28"/>
                <w:lang w:val="ru-RU"/>
              </w:rPr>
            </w:pPr>
            <w:r w:rsidRPr="00AC0F60">
              <w:rPr>
                <w:rFonts w:ascii="Times New Roman" w:hAnsi="Times New Roman"/>
                <w:sz w:val="28"/>
                <w:lang w:val="ru-RU"/>
              </w:rPr>
              <w:t xml:space="preserve">(число отечественных патентных заявок на изобретения, поданных в России, </w:t>
            </w:r>
          </w:p>
          <w:p w14:paraId="503DA86B" w14:textId="77777777" w:rsidR="00385BB0" w:rsidRPr="00AC0F60" w:rsidRDefault="00385BB0" w:rsidP="00AC0F60">
            <w:pPr>
              <w:rPr>
                <w:rFonts w:ascii="Times New Roman" w:hAnsi="Times New Roman"/>
                <w:sz w:val="28"/>
                <w:lang w:val="ru-RU"/>
              </w:rPr>
            </w:pPr>
            <w:r w:rsidRPr="00AC0F60">
              <w:rPr>
                <w:rFonts w:ascii="Times New Roman" w:hAnsi="Times New Roman"/>
                <w:sz w:val="28"/>
                <w:lang w:val="ru-RU"/>
              </w:rPr>
              <w:t>в расчете на 10 тыс. чел. населения)</w:t>
            </w:r>
          </w:p>
        </w:tc>
        <w:tc>
          <w:tcPr>
            <w:tcW w:w="1559" w:type="dxa"/>
          </w:tcPr>
          <w:p w14:paraId="6872FA5E" w14:textId="77777777" w:rsidR="00385BB0" w:rsidRPr="00385BB0" w:rsidRDefault="00385BB0" w:rsidP="007668AC">
            <w:pPr>
              <w:rPr>
                <w:rFonts w:ascii="Times New Roman" w:hAnsi="Times New Roman"/>
                <w:sz w:val="28"/>
                <w:lang w:val="ru-RU"/>
              </w:rPr>
            </w:pPr>
            <w:r w:rsidRPr="00385BB0">
              <w:rPr>
                <w:rFonts w:ascii="Times New Roman" w:hAnsi="Times New Roman"/>
                <w:sz w:val="28"/>
                <w:lang w:val="ru-RU"/>
              </w:rPr>
              <w:t>1,65</w:t>
            </w:r>
          </w:p>
        </w:tc>
        <w:tc>
          <w:tcPr>
            <w:tcW w:w="1559" w:type="dxa"/>
            <w:noWrap/>
          </w:tcPr>
          <w:p w14:paraId="1DFBDEC3" w14:textId="77777777" w:rsidR="00385BB0" w:rsidRPr="00385BB0" w:rsidRDefault="00385BB0" w:rsidP="007668AC">
            <w:pPr>
              <w:rPr>
                <w:rFonts w:ascii="Times New Roman" w:hAnsi="Times New Roman"/>
                <w:sz w:val="28"/>
                <w:lang w:val="ru-RU"/>
              </w:rPr>
            </w:pPr>
            <w:r w:rsidRPr="00385BB0">
              <w:rPr>
                <w:rFonts w:ascii="Times New Roman" w:hAnsi="Times New Roman"/>
                <w:sz w:val="28"/>
                <w:lang w:val="ru-RU"/>
              </w:rPr>
              <w:t>2,00</w:t>
            </w:r>
          </w:p>
        </w:tc>
        <w:tc>
          <w:tcPr>
            <w:tcW w:w="1559" w:type="dxa"/>
            <w:noWrap/>
          </w:tcPr>
          <w:p w14:paraId="629DA6EB" w14:textId="77777777" w:rsidR="00385BB0" w:rsidRPr="00385BB0" w:rsidRDefault="00385BB0" w:rsidP="007668AC">
            <w:pPr>
              <w:rPr>
                <w:rFonts w:ascii="Times New Roman" w:hAnsi="Times New Roman"/>
                <w:sz w:val="28"/>
                <w:lang w:val="ru-RU"/>
              </w:rPr>
            </w:pPr>
            <w:r w:rsidRPr="00385BB0">
              <w:rPr>
                <w:rFonts w:ascii="Times New Roman" w:hAnsi="Times New Roman"/>
                <w:sz w:val="28"/>
                <w:lang w:val="ru-RU"/>
              </w:rPr>
              <w:t>1,83</w:t>
            </w:r>
          </w:p>
        </w:tc>
        <w:tc>
          <w:tcPr>
            <w:tcW w:w="1560" w:type="dxa"/>
            <w:noWrap/>
          </w:tcPr>
          <w:p w14:paraId="55197B88" w14:textId="77777777" w:rsidR="00385BB0" w:rsidRPr="00385BB0" w:rsidRDefault="00385BB0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385BB0">
              <w:rPr>
                <w:rFonts w:ascii="Times New Roman" w:hAnsi="Times New Roman"/>
                <w:i/>
                <w:sz w:val="28"/>
                <w:lang w:val="ru-RU"/>
              </w:rPr>
              <w:t xml:space="preserve">2,15   </w:t>
            </w:r>
          </w:p>
        </w:tc>
      </w:tr>
    </w:tbl>
    <w:p w14:paraId="4D4D86F1" w14:textId="77777777" w:rsidR="006B4587" w:rsidRDefault="006B4587">
      <w:pPr>
        <w:rPr>
          <w:lang w:val="ru-RU"/>
        </w:rPr>
      </w:pPr>
    </w:p>
    <w:p w14:paraId="323EB44D" w14:textId="77777777" w:rsidR="006B4587" w:rsidRDefault="006B4587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2A97C544" w14:textId="77777777" w:rsidR="006B4587" w:rsidRDefault="006B4587" w:rsidP="006B4587">
      <w:pPr>
        <w:spacing w:before="6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4587">
        <w:rPr>
          <w:rFonts w:ascii="Times New Roman" w:eastAsia="Calibri" w:hAnsi="Times New Roman"/>
          <w:b/>
          <w:sz w:val="28"/>
          <w:szCs w:val="28"/>
          <w:lang w:val="ru-RU" w:eastAsia="ru-RU"/>
        </w:rPr>
        <w:lastRenderedPageBreak/>
        <w:t xml:space="preserve">Перечень актов федерального законодательства, подлежащих признанию утратившими силу, приостановлению, изменению, дополнению или принятию в связи с принятием проекта Федерального закона </w:t>
      </w:r>
      <w:r w:rsidRPr="00F90928">
        <w:rPr>
          <w:rFonts w:ascii="Times New Roman" w:hAnsi="Times New Roman"/>
          <w:b/>
          <w:sz w:val="28"/>
          <w:szCs w:val="28"/>
          <w:lang w:val="ru-RU"/>
        </w:rPr>
        <w:t>«О внесении изменений в статьи 262 и 284 части второй Налогового кодекса Российской Федерации в целях стимулирования оборота и коммерциализации результатов интеллектуальной деятельности (РИД) и привлечения в Российскую Федерацию иностранных компаний-владельцев РИД»</w:t>
      </w:r>
    </w:p>
    <w:p w14:paraId="1B778CA2" w14:textId="77777777" w:rsidR="008B4475" w:rsidRPr="006B4587" w:rsidRDefault="008B4475" w:rsidP="006B4587">
      <w:pPr>
        <w:spacing w:before="6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45AEEE7" w14:textId="77777777" w:rsidR="006B4587" w:rsidRPr="006B4587" w:rsidRDefault="006B4587" w:rsidP="006B458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6B4587">
        <w:rPr>
          <w:rFonts w:ascii="Times New Roman" w:eastAsia="Calibri" w:hAnsi="Times New Roman"/>
          <w:sz w:val="28"/>
          <w:szCs w:val="28"/>
          <w:lang w:val="ru-RU" w:eastAsia="ru-RU"/>
        </w:rPr>
        <w:t>Принятие проекта Федерального закона «О внесении изменений в статьи 262 и 284 части второй Налогового кодекса Российской Федерации в целях стимулирования оборота и коммерциализации результатов интеллектуальной деятельности (РИД) и привлечения в Российскую Федерацию иностранных компаний-владельцев РИД»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6B4587">
        <w:rPr>
          <w:rFonts w:ascii="Times New Roman" w:eastAsia="Calibri" w:hAnsi="Times New Roman"/>
          <w:sz w:val="28"/>
          <w:szCs w:val="28"/>
          <w:lang w:val="ru-RU" w:eastAsia="ru-RU"/>
        </w:rPr>
        <w:t>не потребует признания утратившими силу, приостановления, изменения или принятия актов федерального законодательства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за исключением изменения наименования перечня, утвержденного </w:t>
      </w:r>
      <w:r w:rsidRPr="006B4587">
        <w:rPr>
          <w:rFonts w:ascii="Times New Roman" w:eastAsia="Calibri" w:hAnsi="Times New Roman"/>
          <w:sz w:val="28"/>
          <w:szCs w:val="28"/>
          <w:lang w:val="ru-RU" w:eastAsia="ru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м Правительства Российской Федерации</w:t>
      </w:r>
      <w:r w:rsidRPr="006B458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от 24.12.2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008 N 988 (ред. от 06.02.2012) «</w:t>
      </w:r>
      <w:r w:rsidRPr="006B4587">
        <w:rPr>
          <w:rFonts w:ascii="Times New Roman" w:eastAsia="Calibri" w:hAnsi="Times New Roman"/>
          <w:sz w:val="28"/>
          <w:szCs w:val="28"/>
          <w:lang w:val="ru-RU" w:eastAsia="ru-RU"/>
        </w:rPr>
        <w:t>Об утверждении перечня научных исследований и опытно-конструкторских разработок,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ских затрат с коэффициентом 1,5» на «</w:t>
      </w:r>
      <w:r w:rsidRPr="006B4587">
        <w:rPr>
          <w:rFonts w:ascii="Times New Roman" w:eastAsia="Calibri" w:hAnsi="Times New Roman"/>
          <w:sz w:val="28"/>
          <w:szCs w:val="28"/>
          <w:lang w:val="ru-RU" w:eastAsia="ru-RU"/>
        </w:rPr>
        <w:t>Об утверждении перечня исследований и разработок,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ских затрат с коэффициентом 2» с целью гармонизации налогового законодательства</w:t>
      </w:r>
      <w:r w:rsidRPr="006B4587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14:paraId="3F8BFBC5" w14:textId="77777777" w:rsidR="0027112F" w:rsidRPr="00F90928" w:rsidRDefault="0027112F">
      <w:pPr>
        <w:rPr>
          <w:lang w:val="ru-RU"/>
        </w:rPr>
      </w:pPr>
    </w:p>
    <w:sectPr w:rsidR="0027112F" w:rsidRPr="00F90928" w:rsidSect="00BE2D96">
      <w:headerReference w:type="default" r:id="rId9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8AB343" w15:done="0"/>
  <w15:commentEx w15:paraId="5D4D064E" w15:done="0"/>
  <w15:commentEx w15:paraId="6EF7CA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9D0ED" w14:textId="77777777" w:rsidR="00654E9E" w:rsidRDefault="00654E9E" w:rsidP="00F90928">
      <w:r>
        <w:separator/>
      </w:r>
    </w:p>
  </w:endnote>
  <w:endnote w:type="continuationSeparator" w:id="0">
    <w:p w14:paraId="6FAFDA8F" w14:textId="77777777" w:rsidR="00654E9E" w:rsidRDefault="00654E9E" w:rsidP="00F9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3D27" w14:textId="77777777" w:rsidR="00654E9E" w:rsidRDefault="00654E9E" w:rsidP="00F90928">
      <w:r>
        <w:separator/>
      </w:r>
    </w:p>
  </w:footnote>
  <w:footnote w:type="continuationSeparator" w:id="0">
    <w:p w14:paraId="563B4184" w14:textId="77777777" w:rsidR="00654E9E" w:rsidRDefault="00654E9E" w:rsidP="00F90928">
      <w:r>
        <w:continuationSeparator/>
      </w:r>
    </w:p>
  </w:footnote>
  <w:footnote w:id="1">
    <w:p w14:paraId="16206C85" w14:textId="77777777" w:rsidR="002316E2" w:rsidRPr="002316E2" w:rsidRDefault="002316E2" w:rsidP="002316E2">
      <w:pPr>
        <w:tabs>
          <w:tab w:val="left" w:pos="2763"/>
        </w:tabs>
        <w:rPr>
          <w:rFonts w:ascii="Times New Roman" w:hAnsi="Times New Roman"/>
          <w:sz w:val="20"/>
          <w:szCs w:val="20"/>
        </w:rPr>
      </w:pPr>
      <w:r w:rsidRPr="002316E2">
        <w:rPr>
          <w:rStyle w:val="FootnoteReference"/>
          <w:sz w:val="20"/>
          <w:szCs w:val="20"/>
        </w:rPr>
        <w:footnoteRef/>
      </w:r>
      <w:r w:rsidRPr="002316E2">
        <w:rPr>
          <w:sz w:val="20"/>
          <w:szCs w:val="20"/>
        </w:rPr>
        <w:t xml:space="preserve"> </w:t>
      </w:r>
      <w:r w:rsidRPr="002316E2">
        <w:rPr>
          <w:rFonts w:ascii="Times New Roman" w:hAnsi="Times New Roman"/>
          <w:sz w:val="20"/>
          <w:szCs w:val="20"/>
        </w:rPr>
        <w:t xml:space="preserve">Do R&amp;D tax incentives lead to higher wages for R&amp;D workers? Boris </w:t>
      </w:r>
      <w:proofErr w:type="spellStart"/>
      <w:r w:rsidRPr="002316E2">
        <w:rPr>
          <w:rFonts w:ascii="Times New Roman" w:hAnsi="Times New Roman"/>
          <w:sz w:val="20"/>
          <w:szCs w:val="20"/>
        </w:rPr>
        <w:t>Lokshina</w:t>
      </w:r>
      <w:proofErr w:type="spellEnd"/>
      <w:r w:rsidRPr="002316E2">
        <w:rPr>
          <w:rFonts w:ascii="Times New Roman" w:hAnsi="Times New Roman"/>
          <w:sz w:val="20"/>
          <w:szCs w:val="20"/>
        </w:rPr>
        <w:t xml:space="preserve">, Pierre </w:t>
      </w:r>
      <w:proofErr w:type="spellStart"/>
      <w:r w:rsidRPr="002316E2">
        <w:rPr>
          <w:rFonts w:ascii="Times New Roman" w:hAnsi="Times New Roman"/>
          <w:sz w:val="20"/>
          <w:szCs w:val="20"/>
        </w:rPr>
        <w:t>Mohnenb</w:t>
      </w:r>
      <w:proofErr w:type="spellEnd"/>
      <w:r w:rsidRPr="002316E2">
        <w:rPr>
          <w:rFonts w:ascii="Times New Roman" w:hAnsi="Times New Roman"/>
          <w:sz w:val="20"/>
          <w:szCs w:val="20"/>
        </w:rPr>
        <w:t>.</w:t>
      </w:r>
    </w:p>
  </w:footnote>
  <w:footnote w:id="2">
    <w:p w14:paraId="74EFFAC9" w14:textId="77777777" w:rsidR="00AE513E" w:rsidRPr="002316E2" w:rsidRDefault="00AE513E">
      <w:pPr>
        <w:pStyle w:val="FootnoteText"/>
        <w:rPr>
          <w:rFonts w:ascii="Times New Roman" w:hAnsi="Times New Roman"/>
        </w:rPr>
      </w:pPr>
      <w:r w:rsidRPr="002316E2">
        <w:rPr>
          <w:rStyle w:val="FootnoteReference"/>
          <w:rFonts w:ascii="Times New Roman" w:hAnsi="Times New Roman"/>
        </w:rPr>
        <w:footnoteRef/>
      </w:r>
      <w:r w:rsidRPr="002316E2">
        <w:rPr>
          <w:rFonts w:ascii="Times New Roman" w:hAnsi="Times New Roman"/>
        </w:rPr>
        <w:t xml:space="preserve"> The Impact and Effectiveness of Fiscal Incentives for R&amp;D </w:t>
      </w:r>
      <w:r w:rsidR="002316E2" w:rsidRPr="002316E2">
        <w:rPr>
          <w:rFonts w:ascii="Times New Roman" w:hAnsi="Times New Roman"/>
        </w:rPr>
        <w:t xml:space="preserve">Christian </w:t>
      </w:r>
      <w:proofErr w:type="spellStart"/>
      <w:r w:rsidR="002316E2" w:rsidRPr="002316E2">
        <w:rPr>
          <w:rFonts w:ascii="Times New Roman" w:hAnsi="Times New Roman"/>
        </w:rPr>
        <w:t>Köhler</w:t>
      </w:r>
      <w:proofErr w:type="spellEnd"/>
      <w:r w:rsidR="002316E2" w:rsidRPr="002316E2">
        <w:rPr>
          <w:rFonts w:ascii="Times New Roman" w:hAnsi="Times New Roman"/>
        </w:rPr>
        <w:t xml:space="preserve">, </w:t>
      </w:r>
      <w:r w:rsidR="002316E2">
        <w:rPr>
          <w:rFonts w:ascii="Times New Roman" w:hAnsi="Times New Roman"/>
        </w:rPr>
        <w:t>Philippe Laredo</w:t>
      </w:r>
      <w:r w:rsidR="002316E2" w:rsidRPr="002316E2">
        <w:rPr>
          <w:rFonts w:ascii="Times New Roman" w:hAnsi="Times New Roman"/>
        </w:rPr>
        <w:t>, Christian Rammer  </w:t>
      </w:r>
      <w:proofErr w:type="spellStart"/>
      <w:r w:rsidRPr="002316E2">
        <w:rPr>
          <w:rFonts w:ascii="Times New Roman" w:hAnsi="Times New Roman"/>
        </w:rPr>
        <w:t>Nesta</w:t>
      </w:r>
      <w:proofErr w:type="spellEnd"/>
      <w:r w:rsidRPr="002316E2">
        <w:rPr>
          <w:rFonts w:ascii="Times New Roman" w:hAnsi="Times New Roman"/>
        </w:rPr>
        <w:t xml:space="preserve"> Working Paper 12/01, </w:t>
      </w:r>
    </w:p>
  </w:footnote>
  <w:footnote w:id="3">
    <w:p w14:paraId="3574F45F" w14:textId="77777777" w:rsidR="00DD52AB" w:rsidRPr="0077742E" w:rsidRDefault="00DD52AB">
      <w:pPr>
        <w:pStyle w:val="FootnoteText"/>
        <w:rPr>
          <w:rFonts w:ascii="Times New Roman" w:hAnsi="Times New Roman"/>
          <w:lang w:val="ru-RU"/>
        </w:rPr>
      </w:pPr>
      <w:r w:rsidRPr="0077742E">
        <w:rPr>
          <w:rStyle w:val="FootnoteReference"/>
          <w:rFonts w:ascii="Times New Roman" w:hAnsi="Times New Roman"/>
        </w:rPr>
        <w:footnoteRef/>
      </w:r>
      <w:r w:rsidRPr="0077742E">
        <w:rPr>
          <w:rFonts w:ascii="Times New Roman" w:hAnsi="Times New Roman"/>
          <w:lang w:val="ru-RU"/>
        </w:rPr>
        <w:t xml:space="preserve"> Отчет о налоговой базе и структуре начислений по налогу на прибыль организаций по форме № 5-П по состоянию на 01.01.2017, сводный в целом по Российской Федерации</w:t>
      </w:r>
    </w:p>
  </w:footnote>
  <w:footnote w:id="4">
    <w:p w14:paraId="62CFA405" w14:textId="77777777" w:rsidR="00765E92" w:rsidRPr="003A30C2" w:rsidRDefault="00765E92" w:rsidP="00765E92">
      <w:pPr>
        <w:pStyle w:val="FootnoteText"/>
        <w:rPr>
          <w:rFonts w:ascii="Times New Roman" w:hAnsi="Times New Roman"/>
        </w:rPr>
      </w:pPr>
      <w:r w:rsidRPr="003A30C2">
        <w:rPr>
          <w:rStyle w:val="FootnoteReference"/>
          <w:rFonts w:ascii="Times New Roman" w:hAnsi="Times New Roman"/>
        </w:rPr>
        <w:footnoteRef/>
      </w:r>
      <w:r w:rsidRPr="003A30C2">
        <w:rPr>
          <w:rFonts w:ascii="Times New Roman" w:hAnsi="Times New Roman"/>
        </w:rPr>
        <w:t xml:space="preserve"> OECD, Tax Incentives for Research and Development: Trends and Issues</w:t>
      </w:r>
    </w:p>
  </w:footnote>
  <w:footnote w:id="5">
    <w:p w14:paraId="52D446E8" w14:textId="77777777" w:rsidR="0025745A" w:rsidRPr="0025745A" w:rsidRDefault="0025745A">
      <w:pPr>
        <w:pStyle w:val="FootnoteText"/>
        <w:rPr>
          <w:rFonts w:ascii="Times New Roman" w:hAnsi="Times New Roman"/>
          <w:lang w:val="ru-RU"/>
        </w:rPr>
      </w:pPr>
      <w:r w:rsidRPr="0025745A">
        <w:rPr>
          <w:rStyle w:val="FootnoteReference"/>
          <w:rFonts w:ascii="Times New Roman" w:hAnsi="Times New Roman"/>
        </w:rPr>
        <w:footnoteRef/>
      </w:r>
      <w:r w:rsidRPr="0025745A">
        <w:rPr>
          <w:rFonts w:ascii="Times New Roman" w:hAnsi="Times New Roman"/>
          <w:lang w:val="ru-RU"/>
        </w:rPr>
        <w:t xml:space="preserve"> Согласно статистической отчетности Федеральной службы государственной статистики</w:t>
      </w:r>
      <w:r>
        <w:rPr>
          <w:rFonts w:ascii="Times New Roman" w:hAnsi="Times New Roman"/>
          <w:lang w:val="ru-RU"/>
        </w:rPr>
        <w:t xml:space="preserve"> за 2015 год, данным Федеральной налоговой службы  из </w:t>
      </w:r>
      <w:r w:rsidRPr="0025745A">
        <w:rPr>
          <w:rFonts w:ascii="Times New Roman" w:hAnsi="Times New Roman"/>
          <w:lang w:val="ru-RU"/>
        </w:rPr>
        <w:t>Отчет</w:t>
      </w:r>
      <w:r>
        <w:rPr>
          <w:rFonts w:ascii="Times New Roman" w:hAnsi="Times New Roman"/>
          <w:lang w:val="ru-RU"/>
        </w:rPr>
        <w:t>а</w:t>
      </w:r>
      <w:r w:rsidRPr="0025745A">
        <w:rPr>
          <w:rFonts w:ascii="Times New Roman" w:hAnsi="Times New Roman"/>
          <w:lang w:val="ru-RU"/>
        </w:rPr>
        <w:t xml:space="preserve"> о налоговой базе и структуре начислений по налогу на прибыль организаций по форме № 5-П по состоянию на 01.01.2017, сводный в целом по Российской Федерации</w:t>
      </w:r>
    </w:p>
  </w:footnote>
  <w:footnote w:id="6">
    <w:p w14:paraId="34B10C1F" w14:textId="77777777" w:rsidR="00385BB0" w:rsidRPr="00385BB0" w:rsidRDefault="00385BB0" w:rsidP="00385BB0">
      <w:pPr>
        <w:pStyle w:val="FootnoteText"/>
        <w:rPr>
          <w:rFonts w:ascii="Times New Roman" w:hAnsi="Times New Roman"/>
        </w:rPr>
      </w:pPr>
      <w:r w:rsidRPr="00385BB0">
        <w:rPr>
          <w:rStyle w:val="FootnoteReference"/>
          <w:rFonts w:ascii="Times New Roman" w:hAnsi="Times New Roman"/>
        </w:rPr>
        <w:footnoteRef/>
      </w:r>
      <w:r w:rsidRPr="00385BB0">
        <w:rPr>
          <w:rFonts w:ascii="Times New Roman" w:hAnsi="Times New Roman"/>
        </w:rPr>
        <w:t xml:space="preserve"> INNOVATION, PATENT LOCATION AND TAX PLANNING BY MULTINATIONALS ECONOMICS DEPARTMENTS WORKING PAPERS No. 1360 By </w:t>
      </w:r>
      <w:proofErr w:type="spellStart"/>
      <w:r w:rsidRPr="00385BB0">
        <w:rPr>
          <w:rFonts w:ascii="Times New Roman" w:hAnsi="Times New Roman"/>
        </w:rPr>
        <w:t>Øystein</w:t>
      </w:r>
      <w:proofErr w:type="spellEnd"/>
      <w:r w:rsidRPr="00385BB0">
        <w:rPr>
          <w:rFonts w:ascii="Times New Roman" w:hAnsi="Times New Roman"/>
        </w:rPr>
        <w:t xml:space="preserve"> </w:t>
      </w:r>
      <w:proofErr w:type="spellStart"/>
      <w:r w:rsidRPr="00385BB0">
        <w:rPr>
          <w:rFonts w:ascii="Times New Roman" w:hAnsi="Times New Roman"/>
        </w:rPr>
        <w:t>Bieltvedt</w:t>
      </w:r>
      <w:proofErr w:type="spellEnd"/>
      <w:r w:rsidRPr="00385BB0">
        <w:rPr>
          <w:rFonts w:ascii="Times New Roman" w:hAnsi="Times New Roman"/>
        </w:rPr>
        <w:t xml:space="preserve"> </w:t>
      </w:r>
      <w:proofErr w:type="spellStart"/>
      <w:r w:rsidRPr="00385BB0">
        <w:rPr>
          <w:rFonts w:ascii="Times New Roman" w:hAnsi="Times New Roman"/>
        </w:rPr>
        <w:t>Skeie</w:t>
      </w:r>
      <w:proofErr w:type="spellEnd"/>
      <w:r w:rsidRPr="00385BB0">
        <w:rPr>
          <w:rFonts w:ascii="Times New Roman" w:hAnsi="Times New Roman"/>
        </w:rPr>
        <w:t xml:space="preserve">, </w:t>
      </w:r>
      <w:proofErr w:type="spellStart"/>
      <w:r w:rsidRPr="00385BB0">
        <w:rPr>
          <w:rFonts w:ascii="Times New Roman" w:hAnsi="Times New Roman"/>
        </w:rPr>
        <w:t>Åsa</w:t>
      </w:r>
      <w:proofErr w:type="spellEnd"/>
      <w:r w:rsidRPr="00385BB0">
        <w:rPr>
          <w:rFonts w:ascii="Times New Roman" w:hAnsi="Times New Roman"/>
        </w:rPr>
        <w:t xml:space="preserve"> Johansson, Carlo Menon and </w:t>
      </w:r>
      <w:proofErr w:type="spellStart"/>
      <w:r w:rsidRPr="00385BB0">
        <w:rPr>
          <w:rFonts w:ascii="Times New Roman" w:hAnsi="Times New Roman"/>
        </w:rPr>
        <w:t>Stéphane</w:t>
      </w:r>
      <w:proofErr w:type="spellEnd"/>
      <w:r w:rsidRPr="00385BB0">
        <w:rPr>
          <w:rFonts w:ascii="Times New Roman" w:hAnsi="Times New Roman"/>
        </w:rPr>
        <w:t xml:space="preserve"> </w:t>
      </w:r>
      <w:proofErr w:type="spellStart"/>
      <w:r w:rsidRPr="00385BB0">
        <w:rPr>
          <w:rFonts w:ascii="Times New Roman" w:hAnsi="Times New Roman"/>
        </w:rPr>
        <w:t>Sorbe</w:t>
      </w:r>
      <w:proofErr w:type="spellEnd"/>
      <w:r w:rsidRPr="00385BB0">
        <w:rPr>
          <w:rFonts w:ascii="Times New Roman" w:hAnsi="Times New Roman"/>
        </w:rPr>
        <w:t>, OECD Working Papers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789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3B158AB6" w14:textId="54F664D2" w:rsidR="00BE2D96" w:rsidRPr="00BE2D96" w:rsidRDefault="00114027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BE2D96">
          <w:rPr>
            <w:rFonts w:ascii="Times New Roman" w:hAnsi="Times New Roman"/>
            <w:sz w:val="28"/>
            <w:szCs w:val="28"/>
          </w:rPr>
          <w:fldChar w:fldCharType="begin"/>
        </w:r>
        <w:r w:rsidRPr="00BE2D9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E2D96">
          <w:rPr>
            <w:rFonts w:ascii="Times New Roman" w:hAnsi="Times New Roman"/>
            <w:sz w:val="28"/>
            <w:szCs w:val="28"/>
          </w:rPr>
          <w:fldChar w:fldCharType="separate"/>
        </w:r>
        <w:r w:rsidR="004849FF">
          <w:rPr>
            <w:rFonts w:ascii="Times New Roman" w:hAnsi="Times New Roman"/>
            <w:noProof/>
            <w:sz w:val="28"/>
            <w:szCs w:val="28"/>
          </w:rPr>
          <w:t>14</w:t>
        </w:r>
        <w:r w:rsidRPr="00BE2D96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44772FE6" w14:textId="77777777" w:rsidR="00BE2D96" w:rsidRDefault="00484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A79"/>
    <w:multiLevelType w:val="hybridMultilevel"/>
    <w:tmpl w:val="7B96BD62"/>
    <w:lvl w:ilvl="0" w:tplc="5E00C0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30265"/>
    <w:multiLevelType w:val="hybridMultilevel"/>
    <w:tmpl w:val="3C969DF4"/>
    <w:lvl w:ilvl="0" w:tplc="0F36E8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AB22F3"/>
    <w:multiLevelType w:val="hybridMultilevel"/>
    <w:tmpl w:val="FB5EDAEA"/>
    <w:lvl w:ilvl="0" w:tplc="63285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Соколов">
    <w15:presenceInfo w15:providerId="Windows Live" w15:userId="fdade6a59ff1a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28"/>
    <w:rsid w:val="000073FD"/>
    <w:rsid w:val="00053679"/>
    <w:rsid w:val="00062CFF"/>
    <w:rsid w:val="00086AD9"/>
    <w:rsid w:val="00114027"/>
    <w:rsid w:val="001155B3"/>
    <w:rsid w:val="001929F5"/>
    <w:rsid w:val="001B4255"/>
    <w:rsid w:val="001D75EC"/>
    <w:rsid w:val="001E208F"/>
    <w:rsid w:val="002316E2"/>
    <w:rsid w:val="0025745A"/>
    <w:rsid w:val="0027112F"/>
    <w:rsid w:val="00355FC5"/>
    <w:rsid w:val="00385BB0"/>
    <w:rsid w:val="003D13F9"/>
    <w:rsid w:val="00401F3C"/>
    <w:rsid w:val="004610C0"/>
    <w:rsid w:val="00481D12"/>
    <w:rsid w:val="004849FF"/>
    <w:rsid w:val="004C1C9B"/>
    <w:rsid w:val="004C21D6"/>
    <w:rsid w:val="00521B74"/>
    <w:rsid w:val="00542EBA"/>
    <w:rsid w:val="00654E9E"/>
    <w:rsid w:val="006960F7"/>
    <w:rsid w:val="006B3675"/>
    <w:rsid w:val="006B4587"/>
    <w:rsid w:val="00765E92"/>
    <w:rsid w:val="0077742E"/>
    <w:rsid w:val="007D7A41"/>
    <w:rsid w:val="007E7706"/>
    <w:rsid w:val="007E79F1"/>
    <w:rsid w:val="00831BF4"/>
    <w:rsid w:val="00864198"/>
    <w:rsid w:val="008B4475"/>
    <w:rsid w:val="008E5686"/>
    <w:rsid w:val="009809B5"/>
    <w:rsid w:val="009C2C58"/>
    <w:rsid w:val="00A241C7"/>
    <w:rsid w:val="00A60ECE"/>
    <w:rsid w:val="00A96D80"/>
    <w:rsid w:val="00AC0F60"/>
    <w:rsid w:val="00AC0FCB"/>
    <w:rsid w:val="00AE513E"/>
    <w:rsid w:val="00B2392D"/>
    <w:rsid w:val="00B66AF5"/>
    <w:rsid w:val="00C35461"/>
    <w:rsid w:val="00C87FF4"/>
    <w:rsid w:val="00CB1AF8"/>
    <w:rsid w:val="00CF7290"/>
    <w:rsid w:val="00D5415E"/>
    <w:rsid w:val="00D95E22"/>
    <w:rsid w:val="00DD52AB"/>
    <w:rsid w:val="00DF46A7"/>
    <w:rsid w:val="00E0544C"/>
    <w:rsid w:val="00E31DDA"/>
    <w:rsid w:val="00E370FD"/>
    <w:rsid w:val="00E77B31"/>
    <w:rsid w:val="00E94001"/>
    <w:rsid w:val="00F47D0E"/>
    <w:rsid w:val="00F90928"/>
    <w:rsid w:val="00FA0C61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2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92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28"/>
    <w:rPr>
      <w:rFonts w:ascii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F90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928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92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5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D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22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E22"/>
    <w:rPr>
      <w:rFonts w:ascii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2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92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28"/>
    <w:rPr>
      <w:rFonts w:ascii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F90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928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92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5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D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22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E22"/>
    <w:rPr>
      <w:rFonts w:ascii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C596-7757-4673-BC56-1047997D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4489</Words>
  <Characters>25593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</Company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Butrimovich</dc:creator>
  <cp:lastModifiedBy>Dentons</cp:lastModifiedBy>
  <cp:revision>3</cp:revision>
  <dcterms:created xsi:type="dcterms:W3CDTF">2018-03-29T12:25:00Z</dcterms:created>
  <dcterms:modified xsi:type="dcterms:W3CDTF">2018-03-29T12:26:00Z</dcterms:modified>
</cp:coreProperties>
</file>