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A2" w:rsidRDefault="00134AA2" w:rsidP="00134AA2">
      <w:pPr>
        <w:pStyle w:val="Header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134AA2">
        <w:rPr>
          <w:b/>
          <w:bCs/>
          <w:sz w:val="28"/>
          <w:szCs w:val="28"/>
          <w:lang w:val="ru-RU"/>
        </w:rPr>
        <w:t>Рекомендации по дальнейшему развитию правового регулирования в сфере робототехники и технологий ИИ</w:t>
      </w:r>
    </w:p>
    <w:p w:rsidR="00134AA2" w:rsidRPr="00134AA2" w:rsidRDefault="00134AA2" w:rsidP="00134AA2">
      <w:pPr>
        <w:pStyle w:val="Header"/>
        <w:jc w:val="center"/>
        <w:rPr>
          <w:b/>
          <w:bCs/>
          <w:sz w:val="28"/>
          <w:szCs w:val="28"/>
          <w:lang w:val="ru-RU"/>
        </w:rPr>
      </w:pPr>
    </w:p>
    <w:p w:rsidR="00134AA2" w:rsidRDefault="00134AA2" w:rsidP="00134AA2">
      <w:pPr>
        <w:pStyle w:val="Head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основе результатов исследования по п. </w:t>
      </w:r>
      <w:r w:rsidRPr="00D21418">
        <w:rPr>
          <w:b/>
          <w:bCs/>
          <w:lang w:val="ru-RU"/>
        </w:rPr>
        <w:t>01.02.001.004.001 Плана мероприятий по направлению «Нормативное регулирование» программы «Цифровая экономика</w:t>
      </w:r>
    </w:p>
    <w:p w:rsidR="00134AA2" w:rsidRPr="00D21418" w:rsidRDefault="00134AA2" w:rsidP="00134AA2">
      <w:pPr>
        <w:pStyle w:val="Header"/>
        <w:jc w:val="center"/>
        <w:rPr>
          <w:lang w:val="ru-RU"/>
        </w:rPr>
      </w:pPr>
      <w:r>
        <w:rPr>
          <w:b/>
          <w:bCs/>
          <w:lang w:val="ru-RU"/>
        </w:rPr>
        <w:t>Российской Федерации»</w:t>
      </w:r>
      <w:r>
        <w:rPr>
          <w:rStyle w:val="FootnoteReference"/>
          <w:b/>
          <w:bCs/>
          <w:lang w:val="ru-RU"/>
        </w:rPr>
        <w:footnoteReference w:id="1"/>
      </w:r>
    </w:p>
    <w:tbl>
      <w:tblPr>
        <w:tblpPr w:leftFromText="180" w:rightFromText="180" w:vertAnchor="page" w:horzAnchor="margin" w:tblpX="-176" w:tblpY="1051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2268"/>
      </w:tblGrid>
      <w:tr w:rsidR="00134AA2" w:rsidRPr="00A07E90" w:rsidTr="00134AA2">
        <w:trPr>
          <w:trHeight w:val="47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 w:rsidRPr="00A07E90">
              <w:rPr>
                <w:b/>
                <w:color w:val="1F497D"/>
                <w:lang w:val="ru-RU"/>
              </w:rPr>
              <w:lastRenderedPageBreak/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Рекомендации</w:t>
            </w:r>
            <w:r w:rsidRPr="00A07E90">
              <w:rPr>
                <w:b/>
                <w:color w:val="1F497D"/>
                <w:lang w:val="ru-RU"/>
              </w:rPr>
              <w:t xml:space="preserve"> о разработке и принятии нормативных правовых актов (НПА)</w:t>
            </w:r>
            <w:r>
              <w:rPr>
                <w:b/>
                <w:color w:val="1F497D"/>
                <w:lang w:val="ru-RU"/>
              </w:rPr>
              <w:t xml:space="preserve"> по итогам исследования о регулировании робототехники (РТ) и технологий искусственного интеллекта (ИИ)</w:t>
            </w:r>
            <w:r>
              <w:rPr>
                <w:rStyle w:val="FootnoteReference"/>
                <w:b/>
                <w:color w:val="1F497D"/>
                <w:lang w:val="ru-RU"/>
              </w:rPr>
              <w:footnoteReference w:id="2"/>
            </w:r>
            <w:r w:rsidRPr="00A07E90">
              <w:rPr>
                <w:b/>
                <w:color w:val="1F497D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 w:rsidRPr="00A07E90">
              <w:rPr>
                <w:b/>
                <w:color w:val="1F497D"/>
                <w:lang w:val="ru-RU"/>
              </w:rPr>
              <w:t xml:space="preserve">Временная перспектива </w:t>
            </w:r>
          </w:p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 w:rsidRPr="00A07E90">
              <w:rPr>
                <w:b/>
                <w:color w:val="1F497D"/>
                <w:lang w:val="ru-RU"/>
              </w:rPr>
              <w:t>Уровень регулирования</w:t>
            </w:r>
          </w:p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46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 xml:space="preserve">Краткосрочная:  до 1 года </w:t>
            </w:r>
          </w:p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46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Среднесрочная: 1-5 лет</w:t>
            </w:r>
          </w:p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46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Долгосрочная: от 5 лет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47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  <w:p w:rsidR="00134AA2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 w:rsidRPr="00A07E90">
              <w:rPr>
                <w:b/>
                <w:color w:val="1F497D"/>
                <w:lang w:val="ru-RU"/>
              </w:rPr>
              <w:t>Правовые меры</w:t>
            </w:r>
          </w:p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2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tabs>
                <w:tab w:val="left" w:pos="525"/>
              </w:tabs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Стратегия развития робототехники и технологий 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Подзаконный акт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bCs/>
                <w:color w:val="1F497D"/>
                <w:lang w:val="ru-RU"/>
              </w:rPr>
              <w:t>Федеральный закон, содержащий базовое регулирование в сфере робототехники и технологий ИИ</w:t>
            </w:r>
            <w:r w:rsidRPr="00A07E90">
              <w:rPr>
                <w:color w:val="1F497D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НПА, направленные на регулирование сферы высокоавтоматизированного колесного транспорта (</w:t>
            </w:r>
            <w:r>
              <w:rPr>
                <w:color w:val="1F497D"/>
                <w:lang w:val="ru-RU"/>
              </w:rPr>
              <w:t>обеспечение возможности тестирования</w:t>
            </w:r>
            <w:r w:rsidRPr="00A07E90">
              <w:rPr>
                <w:color w:val="1F497D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ФЗ, 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НПА, направленные на дальнейшее регулирование сферы беспилотных летательных аппаратов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bCs/>
                <w:color w:val="1F497D"/>
                <w:lang w:val="ru-RU"/>
              </w:rPr>
              <w:t>Изменения  в Четвертую часть ГК РФ (ра</w:t>
            </w:r>
            <w:r>
              <w:rPr>
                <w:bCs/>
                <w:color w:val="1F497D"/>
                <w:lang w:val="ru-RU"/>
              </w:rPr>
              <w:t xml:space="preserve">зрешение вопроса о правах на результаты интеллектуальной деятельности, </w:t>
            </w:r>
            <w:r w:rsidRPr="00A07E90">
              <w:rPr>
                <w:bCs/>
                <w:color w:val="1F497D"/>
                <w:lang w:val="ru-RU"/>
              </w:rPr>
              <w:t>созданные с использованием роботов и ИИ)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bCs/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Дальнейшая разработка национальных стандартов в сфере РТ и 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Краткосрочная/ 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Международные документы,  посвященные РТ и 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Наднациональное</w:t>
            </w:r>
          </w:p>
        </w:tc>
      </w:tr>
      <w:tr w:rsidR="00134AA2" w:rsidRPr="00A07E90" w:rsidTr="00134AA2">
        <w:trPr>
          <w:trHeight w:val="2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bCs/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НПА, направленные на  регулирование сферы высокоавтоматизированного колесного транспорта (комплексное)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Наднациональное, ФЗ, 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Изменения в Первую часть ГК РФ (разрешение вопроса о специфике ответственности за действия роботов – робот как источник повышенной опасности)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 xml:space="preserve">Изменения в  Федеральный закон от 27.07.2006 № 149-ФЗ «Об информации, информационных технологиях и о защите информации»,  Федеральный закон от 27.07.2006 № 152-ФЗ «О персональных </w:t>
            </w:r>
            <w:r w:rsidRPr="00A07E90">
              <w:rPr>
                <w:color w:val="1F497D"/>
                <w:lang w:val="ru-RU"/>
              </w:rPr>
              <w:lastRenderedPageBreak/>
              <w:t>данных (имплементация отдельных принципов регулирования</w:t>
            </w:r>
            <w:r>
              <w:rPr>
                <w:color w:val="1F497D"/>
                <w:lang w:val="ru-RU"/>
              </w:rPr>
              <w:t xml:space="preserve"> в части обеспечения безопасности ПД</w:t>
            </w:r>
            <w:r w:rsidRPr="00A07E90">
              <w:rPr>
                <w:color w:val="1F497D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lastRenderedPageBreak/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 «</w:t>
            </w:r>
            <w:r w:rsidRPr="00A07E90">
              <w:rPr>
                <w:bCs/>
                <w:color w:val="1F497D"/>
                <w:lang w:val="ru-RU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Pr="00A07E90">
              <w:rPr>
                <w:color w:val="1F497D"/>
                <w:lang w:val="ru-RU"/>
              </w:rPr>
              <w:t xml:space="preserve">», </w:t>
            </w:r>
            <w:r w:rsidRPr="00A07E90">
              <w:rPr>
                <w:rFonts w:eastAsiaTheme="majorEastAsia"/>
                <w:color w:val="565A5C"/>
                <w:kern w:val="24"/>
                <w:lang w:val="ru-RU"/>
              </w:rPr>
              <w:t xml:space="preserve"> </w:t>
            </w:r>
            <w:r w:rsidRPr="00A07E90">
              <w:rPr>
                <w:color w:val="1F497D"/>
                <w:lang w:val="ru-RU"/>
              </w:rPr>
              <w:t xml:space="preserve">ФЗ от 25.04.2002 </w:t>
            </w:r>
            <w:r w:rsidRPr="00A07E90">
              <w:rPr>
                <w:color w:val="1F497D"/>
              </w:rPr>
              <w:t>N</w:t>
            </w:r>
            <w:r w:rsidRPr="00A07E90">
              <w:rPr>
                <w:color w:val="1F497D"/>
                <w:lang w:val="ru-RU"/>
              </w:rPr>
              <w:t xml:space="preserve"> 40-ФЗ «</w:t>
            </w:r>
            <w:r w:rsidRPr="00A07E90">
              <w:rPr>
                <w:bCs/>
                <w:color w:val="1F497D"/>
                <w:lang w:val="ru-RU"/>
              </w:rPr>
              <w:t>Об обязательном страховании гражданской ответственности владельцев транспортных средств</w:t>
            </w:r>
            <w:r w:rsidRPr="00A07E90">
              <w:rPr>
                <w:color w:val="1F497D"/>
                <w:lang w:val="ru-RU"/>
              </w:rPr>
              <w:t>», Закон Об организаци страхового дела в РФ, часть 2 ГК РФ  и тд.   (разрешение вопросов страхования ответственности за вред, причиненные с участием роботов, в том числе на стадии тестирования)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bCs/>
                <w:color w:val="1F497D"/>
                <w:lang w:val="ru-RU"/>
              </w:rPr>
              <w:t>Пакетные изменения, направленные на регулирование  отдельных категорий роботов, в зависимости от уровня фактического технического развития: роботов-курьеров,   регулирование технологий ИИ в финансовой сфере; -  регулирование технологий автоматизации, роботизации и применения ИИ в государственном управлении, законодательной деятельности, при отправлении правосудия;  регулирование применения военных роботов;  регулирование применения роботов и роботизированных устройств, а также имплантатов в медицине, а равно систем ИИ, применяемых в медицине,  и т.д.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Среднесрочная</w:t>
            </w:r>
            <w:r>
              <w:rPr>
                <w:color w:val="1F497D"/>
                <w:lang w:val="ru-RU"/>
              </w:rPr>
              <w:t>/</w:t>
            </w:r>
          </w:p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Долгосрочная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Наднациональное/ ФЗ/ П</w:t>
            </w:r>
            <w:r w:rsidRPr="00A07E90">
              <w:rPr>
                <w:color w:val="1F497D"/>
                <w:lang w:val="ru-RU"/>
              </w:rPr>
              <w:t>одзаконные акты</w:t>
            </w:r>
            <w:r>
              <w:rPr>
                <w:color w:val="1F497D"/>
                <w:lang w:val="ru-RU"/>
              </w:rPr>
              <w:t xml:space="preserve"> (в зависимости от сферы)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Изменения в Первую часть ГК РФ (разрешение вопроса о правовом статусе роботов  и систем ИИ с элементами статуса субъекта права)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Долгосрочная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ФЗ</w:t>
            </w:r>
          </w:p>
        </w:tc>
      </w:tr>
      <w:tr w:rsidR="00134AA2" w:rsidRPr="00A07E90" w:rsidTr="00134AA2">
        <w:trPr>
          <w:trHeight w:val="58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  <w:p w:rsidR="00134AA2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 w:rsidRPr="00D640A1">
              <w:rPr>
                <w:b/>
                <w:color w:val="1F497D"/>
                <w:lang w:val="ru-RU"/>
              </w:rPr>
              <w:t>Организационно-правовые меры</w:t>
            </w:r>
          </w:p>
          <w:p w:rsidR="00134AA2" w:rsidRPr="00D640A1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</w:p>
        </w:tc>
      </w:tr>
      <w:tr w:rsidR="00134AA2" w:rsidRPr="00A07E90" w:rsidTr="00134AA2">
        <w:trPr>
          <w:trHeight w:val="2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 xml:space="preserve">Создание единого федерального центра развития робототехники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124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Реализация мер и инструментов поддержки в соответ</w:t>
            </w:r>
            <w:r>
              <w:rPr>
                <w:color w:val="1F497D"/>
                <w:lang w:val="ru-RU"/>
              </w:rPr>
              <w:t>ст</w:t>
            </w:r>
            <w:r w:rsidRPr="00A07E90">
              <w:rPr>
                <w:color w:val="1F497D"/>
                <w:lang w:val="ru-RU"/>
              </w:rPr>
              <w:t>вии с разработанной стратегией</w:t>
            </w:r>
            <w:r>
              <w:rPr>
                <w:color w:val="1F497D"/>
                <w:lang w:val="ru-RU"/>
              </w:rPr>
              <w:t xml:space="preserve"> развития отрасли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ФЗ/Подзаконные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Создание федерального органа в сфере робототехники и 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Наделение координирующими функциями</w:t>
            </w:r>
            <w:r w:rsidRPr="00A07E90">
              <w:rPr>
                <w:color w:val="1F497D"/>
                <w:lang w:val="ru-RU"/>
              </w:rPr>
              <w:t xml:space="preserve"> </w:t>
            </w:r>
            <w:r>
              <w:rPr>
                <w:color w:val="1F497D"/>
                <w:lang w:val="ru-RU"/>
              </w:rPr>
              <w:t xml:space="preserve">в области </w:t>
            </w:r>
            <w:r w:rsidRPr="00A07E90">
              <w:rPr>
                <w:color w:val="1F497D"/>
                <w:lang w:val="ru-RU"/>
              </w:rPr>
              <w:t xml:space="preserve">робототехники и ИИ </w:t>
            </w:r>
            <w:r>
              <w:rPr>
                <w:color w:val="1F497D"/>
                <w:lang w:val="ru-RU"/>
              </w:rPr>
              <w:t xml:space="preserve">существующий орган исполнительной власти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О</w:t>
            </w:r>
            <w:r w:rsidRPr="00A07E90">
              <w:rPr>
                <w:color w:val="1F497D"/>
                <w:lang w:val="ru-RU"/>
              </w:rPr>
              <w:t xml:space="preserve">пределение ведущего уполномоченного органа в отношении  отдельных, наиболее распространенных видов роботов и КФС в зависимости от секторов экономики: высокоавтоматизированные </w:t>
            </w:r>
            <w:r w:rsidRPr="00A07E90">
              <w:rPr>
                <w:lang w:val="ru-RU"/>
              </w:rPr>
              <w:t xml:space="preserve"> </w:t>
            </w:r>
            <w:r w:rsidRPr="00A07E90">
              <w:rPr>
                <w:color w:val="1F497D"/>
                <w:lang w:val="ru-RU"/>
              </w:rPr>
              <w:t>автомобили, беспилотные летательные аппараты, промышленные роботы</w:t>
            </w:r>
            <w:r>
              <w:rPr>
                <w:color w:val="1F497D"/>
                <w:lang w:val="ru-RU"/>
              </w:rPr>
              <w:t xml:space="preserve"> </w:t>
            </w:r>
            <w:r w:rsidRPr="00A07E90">
              <w:rPr>
                <w:color w:val="1F497D"/>
                <w:lang w:val="ru-RU"/>
              </w:rPr>
              <w:t xml:space="preserve"> </w:t>
            </w:r>
            <w:r w:rsidRPr="00A07E90">
              <w:rPr>
                <w:rFonts w:eastAsiaTheme="majorEastAsia"/>
                <w:color w:val="565A5C"/>
                <w:kern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Краткосрочная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Подзаконные акты</w:t>
            </w:r>
          </w:p>
        </w:tc>
      </w:tr>
      <w:tr w:rsidR="00134AA2" w:rsidRPr="00A07E90" w:rsidTr="00134AA2">
        <w:trPr>
          <w:trHeight w:val="2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19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Предоставление налоговых льгот и/или создания особого налогового статуса компаниям, которые разрабатывают и/или производят роботов и робототехнические решени</w:t>
            </w:r>
            <w:r>
              <w:rPr>
                <w:color w:val="1F497D"/>
                <w:lang w:val="ru-RU"/>
              </w:rPr>
              <w:t>й, в том числе создание специальных льготных условий для отечественных разработчиков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ФЗ, подзаконные акты</w:t>
            </w:r>
          </w:p>
        </w:tc>
      </w:tr>
      <w:tr w:rsidR="00134AA2" w:rsidRPr="00A07E90" w:rsidTr="00134AA2">
        <w:trPr>
          <w:trHeight w:val="2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b/>
                <w:color w:val="1F497D"/>
                <w:lang w:val="ru-RU"/>
              </w:rPr>
            </w:pPr>
            <w:r>
              <w:rPr>
                <w:b/>
                <w:color w:val="1F497D"/>
                <w:lang w:val="ru-RU"/>
              </w:rPr>
              <w:t>20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both"/>
              <w:rPr>
                <w:color w:val="1F497D"/>
                <w:lang w:val="ru-RU"/>
              </w:rPr>
            </w:pPr>
            <w:r w:rsidRPr="00A07E90">
              <w:rPr>
                <w:color w:val="1F497D"/>
                <w:lang w:val="ru-RU"/>
              </w:rPr>
              <w:t>Разработк</w:t>
            </w:r>
            <w:r>
              <w:rPr>
                <w:color w:val="1F497D"/>
                <w:lang w:val="ru-RU"/>
              </w:rPr>
              <w:t>а системы реги</w:t>
            </w:r>
            <w:r w:rsidRPr="00A07E90">
              <w:rPr>
                <w:color w:val="1F497D"/>
                <w:lang w:val="ru-RU"/>
              </w:rPr>
              <w:t>с</w:t>
            </w:r>
            <w:r>
              <w:rPr>
                <w:color w:val="1F497D"/>
                <w:lang w:val="ru-RU"/>
              </w:rPr>
              <w:t>т</w:t>
            </w:r>
            <w:r w:rsidRPr="00A07E90">
              <w:rPr>
                <w:color w:val="1F497D"/>
                <w:lang w:val="ru-RU"/>
              </w:rPr>
              <w:t>рации отдельных категорий роботов (</w:t>
            </w:r>
            <w:r>
              <w:rPr>
                <w:rFonts w:eastAsiaTheme="majorEastAsia"/>
                <w:color w:val="565A5C"/>
                <w:kern w:val="24"/>
                <w:lang w:val="ru-RU"/>
              </w:rPr>
              <w:t>бе</w:t>
            </w:r>
            <w:r w:rsidRPr="00A07E90">
              <w:rPr>
                <w:color w:val="1F497D"/>
                <w:lang w:val="ru-RU"/>
              </w:rPr>
              <w:t>спилотные летательные аппараты,  роботы-курьеры, отдельные медицинские роботы, умные роботы</w:t>
            </w:r>
            <w:r>
              <w:rPr>
                <w:color w:val="1F497D"/>
                <w:lang w:val="ru-RU"/>
              </w:rPr>
              <w:t xml:space="preserve"> и т.д.</w:t>
            </w:r>
            <w:r w:rsidRPr="00A07E90">
              <w:rPr>
                <w:color w:val="1F497D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Среднесрочная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A2" w:rsidRPr="00A07E90" w:rsidRDefault="00134AA2" w:rsidP="00134AA2">
            <w:pPr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ФЗ, подзаконные акты</w:t>
            </w:r>
          </w:p>
        </w:tc>
      </w:tr>
    </w:tbl>
    <w:p w:rsidR="00A02C00" w:rsidRPr="00A07E90" w:rsidRDefault="00A02C00">
      <w:pPr>
        <w:jc w:val="center"/>
        <w:rPr>
          <w:b/>
          <w:lang w:val="ru-RU"/>
        </w:rPr>
      </w:pPr>
    </w:p>
    <w:sectPr w:rsidR="00A02C00" w:rsidRPr="00A07E90" w:rsidSect="00D640A1"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7" w:rsidRDefault="006351D7" w:rsidP="006351D7">
      <w:r>
        <w:separator/>
      </w:r>
    </w:p>
  </w:endnote>
  <w:endnote w:type="continuationSeparator" w:id="0">
    <w:p w:rsidR="006351D7" w:rsidRDefault="006351D7" w:rsidP="006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7" w:rsidRDefault="006351D7" w:rsidP="006351D7">
      <w:r>
        <w:separator/>
      </w:r>
    </w:p>
  </w:footnote>
  <w:footnote w:type="continuationSeparator" w:id="0">
    <w:p w:rsidR="006351D7" w:rsidRDefault="006351D7" w:rsidP="006351D7">
      <w:r>
        <w:continuationSeparator/>
      </w:r>
    </w:p>
  </w:footnote>
  <w:footnote w:id="1">
    <w:p w:rsidR="00134AA2" w:rsidRPr="00134AA2" w:rsidRDefault="00134AA2">
      <w:pPr>
        <w:pStyle w:val="FootnoteText"/>
        <w:rPr>
          <w:lang w:val="ru-RU"/>
        </w:rPr>
      </w:pPr>
      <w:r w:rsidRPr="00134AA2">
        <w:rPr>
          <w:rStyle w:val="FootnoteReference"/>
        </w:rPr>
        <w:footnoteRef/>
      </w:r>
      <w:r w:rsidRPr="00134AA2">
        <w:rPr>
          <w:lang w:val="ru-RU"/>
        </w:rPr>
        <w:t xml:space="preserve"> </w:t>
      </w:r>
      <w:r w:rsidRPr="00134AA2">
        <w:rPr>
          <w:bCs/>
          <w:lang w:val="ru-RU"/>
        </w:rPr>
        <w:t xml:space="preserve">Исследование выполнено </w:t>
      </w:r>
      <w:r>
        <w:rPr>
          <w:bCs/>
          <w:lang w:val="ru-RU"/>
        </w:rPr>
        <w:t xml:space="preserve">АО «Дентонс Юроп», авторский коллектив </w:t>
      </w:r>
      <w:r w:rsidRPr="00134AA2">
        <w:rPr>
          <w:bCs/>
          <w:lang w:val="ru-RU"/>
        </w:rPr>
        <w:t xml:space="preserve"> под руководством А. Незнамова, куратор В. Наумов, в мае – июле 2018 года</w:t>
      </w:r>
      <w:r w:rsidR="00795784">
        <w:rPr>
          <w:bCs/>
          <w:lang w:val="ru-RU"/>
        </w:rPr>
        <w:t>, по заказу Фонда «Сколково»</w:t>
      </w:r>
    </w:p>
  </w:footnote>
  <w:footnote w:id="2">
    <w:p w:rsidR="00134AA2" w:rsidRPr="00134AA2" w:rsidRDefault="00134AA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34AA2">
        <w:rPr>
          <w:lang w:val="ru-RU"/>
        </w:rPr>
        <w:t xml:space="preserve"> </w:t>
      </w:r>
      <w:r>
        <w:rPr>
          <w:lang w:val="ru-RU"/>
        </w:rPr>
        <w:t>Приведен основной список рекомендуемых к разработке НПА по состоянию на дату исследования: июль 2018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7"/>
    <w:rsid w:val="00134AA2"/>
    <w:rsid w:val="002675A7"/>
    <w:rsid w:val="002F6B5F"/>
    <w:rsid w:val="004061D3"/>
    <w:rsid w:val="00611607"/>
    <w:rsid w:val="006351D7"/>
    <w:rsid w:val="007158F2"/>
    <w:rsid w:val="00795784"/>
    <w:rsid w:val="007F56B8"/>
    <w:rsid w:val="00A02C00"/>
    <w:rsid w:val="00A07E90"/>
    <w:rsid w:val="00D21418"/>
    <w:rsid w:val="00D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1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0A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A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1D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0A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A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7FFA-C664-4576-923D-85EBD3F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540</Words>
  <Characters>3975</Characters>
  <Application>Microsoft Office Word</Application>
  <DocSecurity>0</DocSecurity>
  <Lines>215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2938783.1</vt:lpwstr>
  </property>
</Properties>
</file>